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51F0" w14:textId="77777777" w:rsidR="00195B63" w:rsidRPr="00082E14" w:rsidRDefault="00195B63" w:rsidP="00EB51A5">
      <w:pPr>
        <w:pStyle w:val="a3"/>
        <w:shd w:val="clear" w:color="auto" w:fill="FFFFFF"/>
        <w:jc w:val="right"/>
        <w:rPr>
          <w:b/>
          <w:bCs/>
          <w:sz w:val="22"/>
          <w:szCs w:val="22"/>
          <w:lang w:val="uk-UA"/>
        </w:rPr>
      </w:pPr>
      <w:r w:rsidRPr="00082E14">
        <w:rPr>
          <w:b/>
          <w:bCs/>
          <w:sz w:val="22"/>
          <w:szCs w:val="22"/>
          <w:lang w:val="uk-UA"/>
        </w:rPr>
        <w:t>Додаток №</w:t>
      </w:r>
      <w:r>
        <w:rPr>
          <w:b/>
          <w:bCs/>
          <w:sz w:val="22"/>
          <w:szCs w:val="22"/>
          <w:lang w:val="uk-UA"/>
        </w:rPr>
        <w:t>2</w:t>
      </w:r>
    </w:p>
    <w:p w14:paraId="3E9148F7" w14:textId="77777777" w:rsidR="00195B63" w:rsidRPr="00082E14" w:rsidRDefault="00195B63" w:rsidP="00EB51A5">
      <w:pPr>
        <w:pStyle w:val="a3"/>
        <w:shd w:val="clear" w:color="auto" w:fill="FFFFFF"/>
        <w:jc w:val="right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до Договору</w:t>
      </w:r>
    </w:p>
    <w:p w14:paraId="66A91155" w14:textId="77777777" w:rsidR="00195B63" w:rsidRDefault="00195B63" w:rsidP="00EB51A5">
      <w:pPr>
        <w:pStyle w:val="a3"/>
        <w:shd w:val="clear" w:color="auto" w:fill="FFFFFF"/>
        <w:jc w:val="right"/>
        <w:rPr>
          <w:b/>
          <w:bCs/>
          <w:sz w:val="22"/>
          <w:szCs w:val="22"/>
          <w:lang w:val="uk-UA"/>
        </w:rPr>
      </w:pPr>
      <w:r w:rsidRPr="00082E14">
        <w:rPr>
          <w:b/>
          <w:bCs/>
          <w:sz w:val="22"/>
          <w:szCs w:val="22"/>
          <w:lang w:val="uk-UA"/>
        </w:rPr>
        <w:t xml:space="preserve">про </w:t>
      </w:r>
      <w:r>
        <w:rPr>
          <w:b/>
          <w:bCs/>
          <w:sz w:val="22"/>
          <w:szCs w:val="22"/>
          <w:lang w:val="uk-UA"/>
        </w:rPr>
        <w:t>постачання електричної енергії споживачу</w:t>
      </w:r>
    </w:p>
    <w:p w14:paraId="5CC3A757" w14:textId="77777777" w:rsidR="00195B63" w:rsidRPr="00082E14" w:rsidRDefault="00195B63" w:rsidP="00082E14">
      <w:pPr>
        <w:pStyle w:val="a3"/>
        <w:jc w:val="left"/>
        <w:rPr>
          <w:sz w:val="22"/>
          <w:szCs w:val="22"/>
          <w:lang w:val="uk-UA"/>
        </w:rPr>
      </w:pPr>
    </w:p>
    <w:tbl>
      <w:tblPr>
        <w:tblW w:w="10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7059"/>
      </w:tblGrid>
      <w:tr w:rsidR="00195B63" w:rsidRPr="00955EEC" w14:paraId="0AB0A3EB" w14:textId="77777777">
        <w:trPr>
          <w:trHeight w:val="458"/>
        </w:trPr>
        <w:tc>
          <w:tcPr>
            <w:tcW w:w="10178" w:type="dxa"/>
            <w:gridSpan w:val="2"/>
          </w:tcPr>
          <w:p w14:paraId="58F7976F" w14:textId="4E9E4754" w:rsidR="00195B63" w:rsidRPr="000250CB" w:rsidRDefault="00195B63" w:rsidP="00935FCF">
            <w:pPr>
              <w:rPr>
                <w:rStyle w:val="aa"/>
                <w:shd w:val="clear" w:color="auto" w:fill="FFFFFF"/>
                <w:lang w:val="uk-UA"/>
              </w:rPr>
            </w:pPr>
            <w:r w:rsidRPr="00E134C5">
              <w:rPr>
                <w:b/>
                <w:bCs/>
                <w:shd w:val="clear" w:color="auto" w:fill="FFFFFF"/>
                <w:lang w:val="uk-UA"/>
              </w:rPr>
              <w:t xml:space="preserve">                                 </w:t>
            </w:r>
            <w:r w:rsidRPr="00E134C5">
              <w:rPr>
                <w:rStyle w:val="aa"/>
                <w:shd w:val="clear" w:color="auto" w:fill="FFFFFF"/>
                <w:lang w:val="uk-UA"/>
              </w:rPr>
              <w:t>КОМЕРЦІЙНА ПРОПОЗИЦІЯ</w:t>
            </w:r>
            <w:r w:rsidR="000250CB">
              <w:rPr>
                <w:rStyle w:val="aa"/>
                <w:shd w:val="clear" w:color="auto" w:fill="FFFFFF"/>
                <w:lang w:val="uk-UA"/>
              </w:rPr>
              <w:t xml:space="preserve"> </w:t>
            </w:r>
            <w:r w:rsidR="000250CB">
              <w:rPr>
                <w:lang w:val="uk-UA"/>
              </w:rPr>
              <w:t xml:space="preserve">№ </w:t>
            </w:r>
            <w:r w:rsidR="000250CB" w:rsidRPr="002229FD">
              <w:t>[_________]</w:t>
            </w:r>
          </w:p>
          <w:p w14:paraId="2D796D91" w14:textId="77777777" w:rsidR="00195B63" w:rsidRPr="00E134C5" w:rsidRDefault="00195B63" w:rsidP="00AD5671">
            <w:pPr>
              <w:jc w:val="center"/>
              <w:rPr>
                <w:rStyle w:val="aa"/>
                <w:shd w:val="clear" w:color="auto" w:fill="FFFFFF"/>
                <w:lang w:val="uk-UA"/>
              </w:rPr>
            </w:pPr>
            <w:r w:rsidRPr="00E134C5">
              <w:rPr>
                <w:rStyle w:val="aa"/>
                <w:shd w:val="clear" w:color="auto" w:fill="FFFFFF"/>
                <w:lang w:val="uk-UA"/>
              </w:rPr>
              <w:t xml:space="preserve"> для споживачів  (крім побутових споживачів та прирівняних до них категорій), </w:t>
            </w:r>
          </w:p>
          <w:p w14:paraId="266D3143" w14:textId="76BA4167" w:rsidR="00195B63" w:rsidRPr="00E134C5" w:rsidRDefault="00195B63" w:rsidP="00AD5671">
            <w:pPr>
              <w:jc w:val="center"/>
              <w:rPr>
                <w:rStyle w:val="aa"/>
                <w:shd w:val="clear" w:color="auto" w:fill="FFFFFF"/>
                <w:lang w:val="uk-UA"/>
              </w:rPr>
            </w:pPr>
            <w:r w:rsidRPr="00E134C5">
              <w:rPr>
                <w:rStyle w:val="aa"/>
                <w:shd w:val="clear" w:color="auto" w:fill="FFFFFF"/>
                <w:lang w:val="uk-UA"/>
              </w:rPr>
              <w:t xml:space="preserve">постачальника електричної енергії ТОВ </w:t>
            </w:r>
            <w:r w:rsidR="00D43217">
              <w:rPr>
                <w:rStyle w:val="aa"/>
                <w:shd w:val="clear" w:color="auto" w:fill="FFFFFF"/>
                <w:lang w:val="uk-UA"/>
              </w:rPr>
              <w:t>«КЕПІТАЛ ЕНЕРДЖІ ГРУП</w:t>
            </w:r>
            <w:r w:rsidRPr="00E134C5">
              <w:rPr>
                <w:rStyle w:val="aa"/>
                <w:shd w:val="clear" w:color="auto" w:fill="FFFFFF"/>
                <w:lang w:val="uk-UA"/>
              </w:rPr>
              <w:t>» ,</w:t>
            </w:r>
          </w:p>
          <w:p w14:paraId="4607AC29" w14:textId="11529AB5" w:rsidR="00195B63" w:rsidRPr="00E134C5" w:rsidRDefault="00195B63" w:rsidP="00AD5671">
            <w:pPr>
              <w:jc w:val="center"/>
              <w:rPr>
                <w:rStyle w:val="aa"/>
                <w:shd w:val="clear" w:color="auto" w:fill="FFFFFF"/>
                <w:lang w:val="uk-UA"/>
              </w:rPr>
            </w:pPr>
            <w:r w:rsidRPr="00E134C5">
              <w:rPr>
                <w:lang w:val="uk-UA"/>
              </w:rPr>
              <w:t xml:space="preserve">що діє на підставі ліцензії на право провадження господарської діяльності з постачання електричної енергії споживачу (постанова НКРЕКП </w:t>
            </w:r>
            <w:r w:rsidR="00D43217" w:rsidRPr="00D43217">
              <w:rPr>
                <w:lang w:val="uk-UA"/>
              </w:rPr>
              <w:t>від 30.06.2020р № 1248</w:t>
            </w:r>
            <w:r w:rsidRPr="00E134C5">
              <w:rPr>
                <w:lang w:val="uk-UA"/>
              </w:rPr>
              <w:t>)</w:t>
            </w:r>
          </w:p>
          <w:p w14:paraId="2F646C0D" w14:textId="77777777" w:rsidR="00195B63" w:rsidRDefault="00195B63" w:rsidP="00AD5671">
            <w:pPr>
              <w:jc w:val="center"/>
              <w:rPr>
                <w:rStyle w:val="aa"/>
                <w:shd w:val="clear" w:color="auto" w:fill="FFFFFF"/>
                <w:lang w:val="uk-UA"/>
              </w:rPr>
            </w:pPr>
          </w:p>
          <w:p w14:paraId="3A91E951" w14:textId="77777777" w:rsidR="00CE5AFC" w:rsidRPr="00E134C5" w:rsidRDefault="00CE5AFC" w:rsidP="00AD5671">
            <w:pPr>
              <w:jc w:val="center"/>
              <w:rPr>
                <w:rStyle w:val="aa"/>
                <w:shd w:val="clear" w:color="auto" w:fill="FFFFFF"/>
                <w:lang w:val="uk-UA"/>
              </w:rPr>
            </w:pPr>
          </w:p>
        </w:tc>
      </w:tr>
      <w:tr w:rsidR="00195B63" w:rsidRPr="00E134C5" w14:paraId="12A267CB" w14:textId="77777777">
        <w:trPr>
          <w:trHeight w:val="1647"/>
        </w:trPr>
        <w:tc>
          <w:tcPr>
            <w:tcW w:w="3119" w:type="dxa"/>
          </w:tcPr>
          <w:p w14:paraId="358D1988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>Критерії, яким має</w:t>
            </w:r>
          </w:p>
          <w:p w14:paraId="011941DD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>відповідати особа, що</w:t>
            </w:r>
          </w:p>
          <w:p w14:paraId="41006B64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>обирає дану</w:t>
            </w:r>
          </w:p>
          <w:p w14:paraId="4824A655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>комерційну</w:t>
            </w:r>
          </w:p>
          <w:p w14:paraId="410DE95D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>пропозицію</w:t>
            </w:r>
          </w:p>
        </w:tc>
        <w:tc>
          <w:tcPr>
            <w:tcW w:w="7059" w:type="dxa"/>
          </w:tcPr>
          <w:p w14:paraId="4DBE707F" w14:textId="77777777" w:rsidR="00195B63" w:rsidRPr="00E134C5" w:rsidRDefault="00195B63" w:rsidP="00AD5671">
            <w:pPr>
              <w:pStyle w:val="ab"/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4C5">
              <w:rPr>
                <w:rFonts w:ascii="Times New Roman" w:hAnsi="Times New Roman" w:cs="Times New Roman"/>
                <w:sz w:val="24"/>
                <w:szCs w:val="24"/>
              </w:rPr>
              <w:t>- Споживач є власником (користувачем) об’єкта;</w:t>
            </w:r>
          </w:p>
          <w:p w14:paraId="1DEE9E91" w14:textId="2D2F55FA" w:rsidR="00195B63" w:rsidRDefault="00195B63" w:rsidP="008307F7">
            <w:pPr>
              <w:tabs>
                <w:tab w:val="left" w:pos="34"/>
              </w:tabs>
              <w:ind w:left="34"/>
              <w:jc w:val="both"/>
              <w:rPr>
                <w:lang w:val="uk-UA"/>
              </w:rPr>
            </w:pPr>
            <w:r w:rsidRPr="00E134C5">
              <w:rPr>
                <w:lang w:val="uk-UA"/>
              </w:rPr>
              <w:t xml:space="preserve">- Споживач є стороною договору споживача про надання послуг з розподілу (передачі) електричної енергії. </w:t>
            </w:r>
            <w:r w:rsidR="003D0C46">
              <w:rPr>
                <w:lang w:val="uk-UA"/>
              </w:rPr>
              <w:t>П</w:t>
            </w:r>
            <w:r w:rsidRPr="00E134C5">
              <w:rPr>
                <w:lang w:val="uk-UA"/>
              </w:rPr>
              <w:t>ерехід прав та обов'язків до нового власника (користувача) об'єкта за договорами, укладеними відповідно до Правил роздрібного ринку електричної енергії не потребує додаткових узгоджень.</w:t>
            </w:r>
          </w:p>
          <w:p w14:paraId="6645DFC3" w14:textId="44D033DB" w:rsidR="00195B63" w:rsidRPr="00360C3A" w:rsidRDefault="00195B63" w:rsidP="004D6DD1">
            <w:pPr>
              <w:tabs>
                <w:tab w:val="left" w:pos="34"/>
              </w:tabs>
              <w:ind w:left="34"/>
              <w:jc w:val="both"/>
              <w:rPr>
                <w:color w:val="000000"/>
                <w:lang w:val="uk-UA"/>
              </w:rPr>
            </w:pPr>
            <w:r w:rsidRPr="00360C3A">
              <w:rPr>
                <w:color w:val="000000"/>
                <w:lang w:val="uk-UA"/>
              </w:rPr>
              <w:t xml:space="preserve">- Споживач групи А, який бажає здійснювати розрахунок за спожиту електричну енергію за тарифами, диференційованими за періодами часу, у тому числі за годинами доби, мають бути забезпечені відповідними </w:t>
            </w:r>
            <w:proofErr w:type="spellStart"/>
            <w:r w:rsidRPr="00360C3A">
              <w:rPr>
                <w:color w:val="000000"/>
                <w:lang w:val="uk-UA"/>
              </w:rPr>
              <w:t>багатотарифними</w:t>
            </w:r>
            <w:proofErr w:type="spellEnd"/>
            <w:r w:rsidRPr="00360C3A">
              <w:rPr>
                <w:color w:val="000000"/>
                <w:lang w:val="uk-UA"/>
              </w:rPr>
              <w:t xml:space="preserve"> або інтервальними (погодинними) лічильниками електричної енергії та бути стороною договору з постачальником послуг комерційного обліку</w:t>
            </w:r>
          </w:p>
          <w:p w14:paraId="21A639CC" w14:textId="77777777" w:rsidR="00195B63" w:rsidRDefault="00195B63" w:rsidP="008307F7">
            <w:pPr>
              <w:tabs>
                <w:tab w:val="left" w:pos="34"/>
              </w:tabs>
              <w:ind w:left="34"/>
              <w:jc w:val="both"/>
              <w:rPr>
                <w:lang w:val="uk-UA"/>
              </w:rPr>
            </w:pPr>
          </w:p>
          <w:p w14:paraId="0104078D" w14:textId="77777777" w:rsidR="00195B63" w:rsidRPr="00E134C5" w:rsidRDefault="00195B63" w:rsidP="008307F7">
            <w:pPr>
              <w:tabs>
                <w:tab w:val="left" w:pos="34"/>
              </w:tabs>
              <w:ind w:left="34"/>
              <w:jc w:val="both"/>
              <w:rPr>
                <w:lang w:val="uk-UA"/>
              </w:rPr>
            </w:pPr>
          </w:p>
        </w:tc>
      </w:tr>
      <w:tr w:rsidR="00195B63" w:rsidRPr="00955EEC" w14:paraId="7F0355CF" w14:textId="77777777">
        <w:tc>
          <w:tcPr>
            <w:tcW w:w="3119" w:type="dxa"/>
          </w:tcPr>
          <w:p w14:paraId="7B7499BB" w14:textId="77777777" w:rsidR="00195B63" w:rsidRPr="00B26D8B" w:rsidRDefault="00195B63" w:rsidP="000A147E">
            <w:pPr>
              <w:rPr>
                <w:lang w:val="uk-UA"/>
              </w:rPr>
            </w:pPr>
            <w:r w:rsidRPr="00E134C5">
              <w:rPr>
                <w:lang w:val="uk-UA"/>
              </w:rPr>
              <w:t>Ціна*</w:t>
            </w:r>
          </w:p>
        </w:tc>
        <w:tc>
          <w:tcPr>
            <w:tcW w:w="7059" w:type="dxa"/>
          </w:tcPr>
          <w:p w14:paraId="433A8F1C" w14:textId="48C82E21" w:rsidR="00195B63" w:rsidRDefault="00195B63" w:rsidP="003D0C46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/>
              </w:rPr>
            </w:pPr>
            <w:r w:rsidRPr="004A6270">
              <w:rPr>
                <w:lang w:val="uk-UA"/>
              </w:rPr>
              <w:t xml:space="preserve">Розрахунки за поставлену Споживачеві електричну енергію здійснюються за ціною, що вільно встановлюється між Постачальником та Споживачем з урахуванням </w:t>
            </w:r>
            <w:proofErr w:type="spellStart"/>
            <w:r w:rsidRPr="004A6270">
              <w:rPr>
                <w:lang w:val="uk-UA"/>
              </w:rPr>
              <w:t>волатильності</w:t>
            </w:r>
            <w:proofErr w:type="spellEnd"/>
            <w:r w:rsidRPr="004A6270">
              <w:rPr>
                <w:lang w:val="uk-UA"/>
              </w:rPr>
              <w:t xml:space="preserve"> (коливання) ціни на електричну енергію на  ринку</w:t>
            </w:r>
            <w:r>
              <w:rPr>
                <w:lang w:val="uk-UA"/>
              </w:rPr>
              <w:t>.</w:t>
            </w:r>
          </w:p>
          <w:p w14:paraId="3764ABFC" w14:textId="77777777" w:rsidR="00B80FDD" w:rsidRDefault="00B80FDD" w:rsidP="004A6270">
            <w:pPr>
              <w:spacing w:line="252" w:lineRule="auto"/>
              <w:jc w:val="both"/>
              <w:rPr>
                <w:lang w:val="uk-UA"/>
              </w:rPr>
            </w:pPr>
          </w:p>
          <w:p w14:paraId="6128A6A7" w14:textId="6954CD94" w:rsidR="00AC10E4" w:rsidRDefault="00195B63" w:rsidP="003D0C46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AC10E4">
              <w:rPr>
                <w:lang w:val="uk-UA"/>
              </w:rPr>
              <w:t>озмір попередньої оплати</w:t>
            </w:r>
            <w:r w:rsidR="00D0242B">
              <w:rPr>
                <w:lang w:val="uk-UA"/>
              </w:rPr>
              <w:t xml:space="preserve"> (далі – </w:t>
            </w:r>
            <w:r w:rsidR="00D0242B">
              <w:rPr>
                <w:b/>
                <w:bCs/>
                <w:lang w:val="uk-UA"/>
              </w:rPr>
              <w:t>Прогнозна</w:t>
            </w:r>
            <w:r w:rsidR="00D0242B" w:rsidRPr="003D0C46">
              <w:rPr>
                <w:b/>
                <w:bCs/>
                <w:lang w:val="uk-UA"/>
              </w:rPr>
              <w:t xml:space="preserve"> вартість</w:t>
            </w:r>
            <w:r w:rsidR="00D0242B">
              <w:rPr>
                <w:lang w:val="uk-UA"/>
              </w:rPr>
              <w:t>)</w:t>
            </w:r>
            <w:r w:rsidR="00AC10E4">
              <w:rPr>
                <w:lang w:val="uk-UA"/>
              </w:rPr>
              <w:t xml:space="preserve"> розраховується на підставі</w:t>
            </w:r>
            <w:r>
              <w:rPr>
                <w:lang w:val="uk-UA"/>
              </w:rPr>
              <w:t xml:space="preserve"> прогнозованої ціни оптового ринку електроенергії </w:t>
            </w:r>
            <w:r w:rsidR="00AC10E4">
              <w:rPr>
                <w:lang w:val="uk-UA"/>
              </w:rPr>
              <w:t xml:space="preserve">у наступному розрахунковому періоді </w:t>
            </w:r>
            <w:r>
              <w:rPr>
                <w:lang w:val="uk-UA"/>
              </w:rPr>
              <w:t xml:space="preserve">та планового </w:t>
            </w:r>
            <w:r w:rsidR="00AC10E4">
              <w:rPr>
                <w:lang w:val="uk-UA"/>
              </w:rPr>
              <w:t>обсягу споживання електричної енергії Споживачем у наступному розрахунковому періоді</w:t>
            </w:r>
            <w:r>
              <w:rPr>
                <w:lang w:val="uk-UA"/>
              </w:rPr>
              <w:t>.</w:t>
            </w:r>
          </w:p>
          <w:p w14:paraId="61F7D5D2" w14:textId="5DC91054" w:rsidR="00AC10E4" w:rsidRDefault="00AC10E4" w:rsidP="003D0C46">
            <w:pPr>
              <w:numPr>
                <w:ilvl w:val="1"/>
                <w:numId w:val="1"/>
              </w:num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Прогнозована ціна оптового ринку електроенергії у наступному розрахунковому періоді розраховується наступним чином:</w:t>
            </w:r>
          </w:p>
          <w:p w14:paraId="38910442" w14:textId="7DC47931" w:rsidR="00195B63" w:rsidRDefault="00AC10E4" w:rsidP="004A6270">
            <w:pPr>
              <w:spacing w:line="252" w:lineRule="auto"/>
              <w:jc w:val="both"/>
            </w:pPr>
            <w:r w:rsidRPr="003D0C46">
              <w:rPr>
                <w:b/>
                <w:bCs/>
                <w:lang w:val="uk-UA"/>
              </w:rPr>
              <w:t>Ц прог</w:t>
            </w:r>
            <w:r>
              <w:rPr>
                <w:lang w:val="uk-UA"/>
              </w:rPr>
              <w:t xml:space="preserve"> = </w:t>
            </w:r>
            <w:r w:rsidRPr="008D4AAB">
              <w:t>[</w:t>
            </w:r>
            <w:r w:rsidR="008D4AAB" w:rsidRPr="008D4AAB">
              <w:t>ср РДН Д-1м</w:t>
            </w:r>
            <w:r w:rsidRPr="008D4AAB">
              <w:t>]</w:t>
            </w:r>
          </w:p>
          <w:p w14:paraId="0F5172DF" w14:textId="4CA21EA3" w:rsidR="00AC10E4" w:rsidRDefault="00AC10E4" w:rsidP="003D0C46">
            <w:pPr>
              <w:numPr>
                <w:ilvl w:val="1"/>
                <w:numId w:val="1"/>
              </w:numPr>
              <w:spacing w:line="252" w:lineRule="auto"/>
              <w:jc w:val="both"/>
            </w:pPr>
            <w:r>
              <w:rPr>
                <w:lang w:val="uk-UA"/>
              </w:rPr>
              <w:t>П</w:t>
            </w:r>
            <w:r w:rsidRPr="00AC10E4">
              <w:rPr>
                <w:lang w:val="uk-UA"/>
              </w:rPr>
              <w:t>ланов</w:t>
            </w:r>
            <w:r>
              <w:rPr>
                <w:lang w:val="uk-UA"/>
              </w:rPr>
              <w:t>ий</w:t>
            </w:r>
            <w:r w:rsidRPr="00AC10E4">
              <w:rPr>
                <w:lang w:val="uk-UA"/>
              </w:rPr>
              <w:t xml:space="preserve"> обсяг споживання електричної енергії Споживачем у наступному розрахунковому періоді</w:t>
            </w:r>
            <w:r>
              <w:rPr>
                <w:lang w:val="uk-UA"/>
              </w:rPr>
              <w:t xml:space="preserve"> направляється Споживачем Постачальнику у </w:t>
            </w:r>
            <w:r w:rsidRPr="00163A7C">
              <w:rPr>
                <w:lang w:val="uk-UA"/>
              </w:rPr>
              <w:t>заяв</w:t>
            </w:r>
            <w:r>
              <w:rPr>
                <w:lang w:val="uk-UA"/>
              </w:rPr>
              <w:t>ці</w:t>
            </w:r>
            <w:r w:rsidRPr="00163A7C">
              <w:rPr>
                <w:lang w:val="uk-UA"/>
              </w:rPr>
              <w:t xml:space="preserve"> про прогнозні обсяги споживання електричної енергії</w:t>
            </w:r>
            <w:r>
              <w:rPr>
                <w:lang w:val="uk-UA"/>
              </w:rPr>
              <w:t xml:space="preserve"> у наступному розрахунковому періоді (далі – </w:t>
            </w:r>
            <w:r w:rsidRPr="003D0C46">
              <w:rPr>
                <w:b/>
                <w:bCs/>
                <w:lang w:val="uk-UA"/>
              </w:rPr>
              <w:t>Заявка про прогнозні обсяги споживання</w:t>
            </w:r>
            <w:r>
              <w:rPr>
                <w:lang w:val="uk-UA"/>
              </w:rPr>
              <w:t xml:space="preserve">). </w:t>
            </w:r>
            <w:r w:rsidRPr="00AC10E4">
              <w:rPr>
                <w:lang w:val="uk-UA"/>
              </w:rPr>
              <w:t>Заявка про прогнозні обсяги споживання</w:t>
            </w:r>
            <w:r w:rsidR="003E787B">
              <w:rPr>
                <w:lang w:val="uk-UA"/>
              </w:rPr>
              <w:t xml:space="preserve"> надається </w:t>
            </w:r>
            <w:r w:rsidR="003E787B" w:rsidRPr="00E134C5">
              <w:rPr>
                <w:color w:val="000000"/>
                <w:lang w:val="uk-UA"/>
              </w:rPr>
              <w:t xml:space="preserve">Споживачем </w:t>
            </w:r>
            <w:r w:rsidR="003E787B">
              <w:rPr>
                <w:color w:val="000000"/>
                <w:lang w:val="uk-UA"/>
              </w:rPr>
              <w:t xml:space="preserve">Постачальнику </w:t>
            </w:r>
            <w:r w:rsidR="003E787B" w:rsidRPr="00E134C5">
              <w:rPr>
                <w:color w:val="000000"/>
                <w:lang w:val="uk-UA"/>
              </w:rPr>
              <w:t>до 13 числа</w:t>
            </w:r>
            <w:r w:rsidR="003E787B">
              <w:rPr>
                <w:color w:val="000000"/>
                <w:lang w:val="uk-UA"/>
              </w:rPr>
              <w:t xml:space="preserve"> місяця, який передує розрахунковому періоду.</w:t>
            </w:r>
          </w:p>
          <w:p w14:paraId="07770BD9" w14:textId="77777777" w:rsidR="00AC10E4" w:rsidRDefault="00AC10E4" w:rsidP="004A6270">
            <w:pPr>
              <w:spacing w:line="252" w:lineRule="auto"/>
              <w:jc w:val="both"/>
            </w:pPr>
          </w:p>
          <w:p w14:paraId="511C1C30" w14:textId="5627398C" w:rsidR="00B80FDD" w:rsidRDefault="00B80FDD" w:rsidP="003D0C46">
            <w:pPr>
              <w:numPr>
                <w:ilvl w:val="0"/>
                <w:numId w:val="1"/>
              </w:num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Розмір остаточної оплати (далі – </w:t>
            </w:r>
            <w:r>
              <w:rPr>
                <w:b/>
                <w:bCs/>
                <w:lang w:val="uk-UA"/>
              </w:rPr>
              <w:t>Остаточна</w:t>
            </w:r>
            <w:r w:rsidRPr="00366608">
              <w:rPr>
                <w:b/>
                <w:bCs/>
                <w:lang w:val="uk-UA"/>
              </w:rPr>
              <w:t xml:space="preserve"> вартість</w:t>
            </w:r>
            <w:r>
              <w:rPr>
                <w:lang w:val="uk-UA"/>
              </w:rPr>
              <w:t xml:space="preserve">) розраховується на підставі остаточної ціни оптового ринку електроенергії у розрахунковому періоді та фактичного </w:t>
            </w:r>
            <w:r>
              <w:rPr>
                <w:lang w:val="uk-UA"/>
              </w:rPr>
              <w:lastRenderedPageBreak/>
              <w:t>обсягу споживання електричної енергії Споживачем у розрахунковому періоді.</w:t>
            </w:r>
          </w:p>
          <w:p w14:paraId="26442EFB" w14:textId="77777777" w:rsidR="00AC10E4" w:rsidRDefault="00AC10E4" w:rsidP="004A6270">
            <w:pPr>
              <w:spacing w:line="252" w:lineRule="auto"/>
              <w:jc w:val="both"/>
              <w:rPr>
                <w:lang w:val="uk-UA"/>
              </w:rPr>
            </w:pPr>
          </w:p>
          <w:p w14:paraId="2E5D1EB6" w14:textId="39BFCC68" w:rsidR="00195B63" w:rsidRPr="00217B78" w:rsidRDefault="00195B63" w:rsidP="003D0C46">
            <w:pPr>
              <w:numPr>
                <w:ilvl w:val="1"/>
                <w:numId w:val="1"/>
              </w:num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Остаточн</w:t>
            </w:r>
            <w:r w:rsidR="00B80FDD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="00D0242B">
              <w:rPr>
                <w:lang w:val="uk-UA"/>
              </w:rPr>
              <w:t>цін</w:t>
            </w:r>
            <w:r w:rsidR="00B80FDD">
              <w:rPr>
                <w:lang w:val="uk-UA"/>
              </w:rPr>
              <w:t>а</w:t>
            </w:r>
            <w:r w:rsidR="00D0242B">
              <w:rPr>
                <w:lang w:val="uk-UA"/>
              </w:rPr>
              <w:t xml:space="preserve"> </w:t>
            </w:r>
            <w:r w:rsidR="00D0242B" w:rsidRPr="00217B78">
              <w:rPr>
                <w:lang w:val="uk-UA"/>
              </w:rPr>
              <w:t>форму</w:t>
            </w:r>
            <w:r w:rsidR="00D0242B">
              <w:rPr>
                <w:lang w:val="uk-UA"/>
              </w:rPr>
              <w:t>є</w:t>
            </w:r>
            <w:r w:rsidR="00D0242B" w:rsidRPr="00217B78">
              <w:rPr>
                <w:lang w:val="uk-UA"/>
              </w:rPr>
              <w:t xml:space="preserve">ться </w:t>
            </w:r>
            <w:r w:rsidRPr="00217B78">
              <w:rPr>
                <w:lang w:val="uk-UA"/>
              </w:rPr>
              <w:t>за формулою:</w:t>
            </w:r>
          </w:p>
          <w:p w14:paraId="456FF193" w14:textId="77777777" w:rsidR="00195B63" w:rsidRPr="003165BD" w:rsidRDefault="00195B63" w:rsidP="00217B78">
            <w:pPr>
              <w:spacing w:line="252" w:lineRule="auto"/>
              <w:jc w:val="both"/>
              <w:rPr>
                <w:b/>
                <w:bCs/>
                <w:lang w:val="uk-UA"/>
              </w:rPr>
            </w:pPr>
            <w:r w:rsidRPr="003165BD">
              <w:rPr>
                <w:b/>
                <w:bCs/>
                <w:lang w:val="uk-UA"/>
              </w:rPr>
              <w:t xml:space="preserve">Ц </w:t>
            </w:r>
            <w:r>
              <w:rPr>
                <w:b/>
                <w:bCs/>
                <w:lang w:val="uk-UA"/>
              </w:rPr>
              <w:t>факт</w:t>
            </w:r>
            <w:r w:rsidRPr="003165BD">
              <w:rPr>
                <w:b/>
                <w:bCs/>
                <w:lang w:val="uk-UA"/>
              </w:rPr>
              <w:t>= ОРЦ+ТПП+МП</w:t>
            </w:r>
          </w:p>
          <w:p w14:paraId="72937CDA" w14:textId="77777777" w:rsidR="00195B63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де:</w:t>
            </w:r>
          </w:p>
          <w:p w14:paraId="1F2998FB" w14:textId="77777777" w:rsidR="00195B63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Цфакт</w:t>
            </w:r>
            <w:proofErr w:type="spellEnd"/>
            <w:r>
              <w:rPr>
                <w:lang w:val="uk-UA"/>
              </w:rPr>
              <w:t xml:space="preserve"> - ц</w:t>
            </w:r>
            <w:r w:rsidRPr="004A6270">
              <w:rPr>
                <w:lang w:val="uk-UA"/>
              </w:rPr>
              <w:t xml:space="preserve">іна за одиницю електричної енергії у </w:t>
            </w:r>
            <w:r>
              <w:rPr>
                <w:lang w:val="uk-UA"/>
              </w:rPr>
              <w:t xml:space="preserve">звітному місяці </w:t>
            </w:r>
            <w:r w:rsidRPr="004A6270">
              <w:rPr>
                <w:lang w:val="uk-UA"/>
              </w:rPr>
              <w:t>без ПДВ</w:t>
            </w:r>
          </w:p>
          <w:p w14:paraId="19DE8A4F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>ОРЦ –</w:t>
            </w:r>
            <w:r>
              <w:rPr>
                <w:lang w:val="uk-UA"/>
              </w:rPr>
              <w:t xml:space="preserve"> </w:t>
            </w:r>
            <w:r w:rsidRPr="00217B78">
              <w:rPr>
                <w:lang w:val="uk-UA"/>
              </w:rPr>
              <w:t xml:space="preserve">оптова ринкова ціна, фактична вартість купівлі Постачальником обсягів електроенергії для Споживача </w:t>
            </w:r>
            <w:r>
              <w:rPr>
                <w:lang w:val="uk-UA"/>
              </w:rPr>
              <w:t>бе</w:t>
            </w:r>
            <w:r w:rsidRPr="00217B78">
              <w:rPr>
                <w:lang w:val="uk-UA"/>
              </w:rPr>
              <w:t>з ПДВ за розрахунковий період.</w:t>
            </w:r>
          </w:p>
          <w:p w14:paraId="096CCA3A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 xml:space="preserve">ТПП - тариф на послуги з передачі електричної енергії згідно </w:t>
            </w:r>
            <w:r>
              <w:rPr>
                <w:lang w:val="uk-UA"/>
              </w:rPr>
              <w:t>з затвердженою НКРЕКП величиною, без ПДВ</w:t>
            </w:r>
          </w:p>
          <w:p w14:paraId="2D96B829" w14:textId="77777777" w:rsidR="00195B63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>МП – маржинальний прибуток</w:t>
            </w:r>
            <w:r>
              <w:rPr>
                <w:lang w:val="uk-UA"/>
              </w:rPr>
              <w:t>, без ПДВ</w:t>
            </w:r>
            <w:r w:rsidRPr="00217B78">
              <w:rPr>
                <w:lang w:val="uk-UA"/>
              </w:rPr>
              <w:t>.</w:t>
            </w:r>
          </w:p>
          <w:p w14:paraId="41645567" w14:textId="77777777" w:rsidR="00CE5AFC" w:rsidRPr="00217B78" w:rsidRDefault="00CE5AFC" w:rsidP="00217B78">
            <w:pPr>
              <w:spacing w:line="252" w:lineRule="auto"/>
              <w:jc w:val="both"/>
              <w:rPr>
                <w:lang w:val="uk-UA"/>
              </w:rPr>
            </w:pPr>
          </w:p>
          <w:p w14:paraId="412D3426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3D0C46">
              <w:rPr>
                <w:b/>
                <w:bCs/>
                <w:lang w:val="uk-UA"/>
              </w:rPr>
              <w:t>ОРЦ</w:t>
            </w:r>
            <w:r w:rsidRPr="00217B78">
              <w:rPr>
                <w:lang w:val="uk-UA"/>
              </w:rPr>
              <w:t xml:space="preserve"> =ВРДН+ВВДР+ВДД+ВБР</w:t>
            </w:r>
          </w:p>
          <w:p w14:paraId="7E366693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 xml:space="preserve">                        </w:t>
            </w:r>
            <w:proofErr w:type="spellStart"/>
            <w:r w:rsidRPr="00217B78">
              <w:rPr>
                <w:lang w:val="uk-UA"/>
              </w:rPr>
              <w:t>Vфакт</w:t>
            </w:r>
            <w:proofErr w:type="spellEnd"/>
          </w:p>
          <w:p w14:paraId="080A0E44" w14:textId="77777777" w:rsidR="00195B63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де :</w:t>
            </w:r>
          </w:p>
          <w:p w14:paraId="04D1F9BC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>ВРДН – фактична вартість купівлі електроенергії на Ринку Доба Наперед.</w:t>
            </w:r>
          </w:p>
          <w:p w14:paraId="0666492A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>ВВДР – фактична вартість купівлі електроенергії на Внутрішньодобовому Ринку.</w:t>
            </w:r>
          </w:p>
          <w:p w14:paraId="1D1175A6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>ВРДД – фактична вартість купівлі електроенергії на Ринку Двосторонніх Договорів.</w:t>
            </w:r>
          </w:p>
          <w:p w14:paraId="41DB2D48" w14:textId="77777777" w:rsidR="00195B63" w:rsidRPr="00217B78" w:rsidRDefault="00195B63" w:rsidP="00217B78">
            <w:pPr>
              <w:spacing w:line="252" w:lineRule="auto"/>
              <w:jc w:val="both"/>
              <w:rPr>
                <w:lang w:val="uk-UA"/>
              </w:rPr>
            </w:pPr>
            <w:r w:rsidRPr="00217B78">
              <w:rPr>
                <w:lang w:val="uk-UA"/>
              </w:rPr>
              <w:t>ВБР – вартість купівлі електроенергії на Балансуючому Ринку.</w:t>
            </w:r>
          </w:p>
          <w:p w14:paraId="1065040B" w14:textId="77777777" w:rsidR="00195B63" w:rsidRDefault="00195B63" w:rsidP="00217B78">
            <w:pPr>
              <w:jc w:val="both"/>
              <w:rPr>
                <w:lang w:val="uk-UA"/>
              </w:rPr>
            </w:pPr>
            <w:proofErr w:type="spellStart"/>
            <w:r w:rsidRPr="00217B78">
              <w:rPr>
                <w:lang w:val="uk-UA"/>
              </w:rPr>
              <w:t>Vфакт</w:t>
            </w:r>
            <w:proofErr w:type="spellEnd"/>
            <w:r w:rsidRPr="00217B78">
              <w:rPr>
                <w:lang w:val="uk-UA"/>
              </w:rPr>
              <w:t xml:space="preserve"> – фактичний обсяг спожитої електричної енергії у відповідному розрахунковому періоді.</w:t>
            </w:r>
          </w:p>
          <w:p w14:paraId="5B77F7D1" w14:textId="77777777" w:rsidR="00CE5AFC" w:rsidRDefault="00CE5AFC" w:rsidP="00217B78">
            <w:pPr>
              <w:jc w:val="both"/>
              <w:rPr>
                <w:lang w:val="uk-UA"/>
              </w:rPr>
            </w:pPr>
          </w:p>
          <w:p w14:paraId="5644FA94" w14:textId="52D9BB74" w:rsidR="005B450A" w:rsidRDefault="005B450A" w:rsidP="003D0C4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Якщо</w:t>
            </w:r>
            <w:r w:rsidRPr="00B80FDD">
              <w:rPr>
                <w:lang w:val="uk-UA"/>
              </w:rPr>
              <w:t xml:space="preserve"> </w:t>
            </w:r>
            <w:r w:rsidR="00B80FDD">
              <w:rPr>
                <w:lang w:val="uk-UA"/>
              </w:rPr>
              <w:t>Остаточна вартість</w:t>
            </w:r>
            <w:r w:rsidRPr="003D0C46">
              <w:rPr>
                <w:lang w:val="uk-UA"/>
              </w:rPr>
              <w:t xml:space="preserve"> </w:t>
            </w:r>
            <w:r w:rsidRPr="00B80FDD">
              <w:rPr>
                <w:lang w:val="uk-UA"/>
              </w:rPr>
              <w:t>більше</w:t>
            </w:r>
            <w:r w:rsidRPr="003D0C46">
              <w:rPr>
                <w:lang w:val="uk-UA"/>
              </w:rPr>
              <w:t xml:space="preserve"> </w:t>
            </w:r>
            <w:r w:rsidR="00B80FDD">
              <w:rPr>
                <w:lang w:val="uk-UA"/>
              </w:rPr>
              <w:t>Прогнозної</w:t>
            </w:r>
            <w:r w:rsidR="00B80FDD" w:rsidRPr="003D0C46">
              <w:rPr>
                <w:lang w:val="uk-UA"/>
              </w:rPr>
              <w:t xml:space="preserve"> вартості</w:t>
            </w:r>
            <w:r w:rsidRPr="00B80FDD">
              <w:rPr>
                <w:lang w:val="uk-UA"/>
              </w:rPr>
              <w:t>, відповідна різниця повинна бути сплачена Споживачем Постачальнику.</w:t>
            </w:r>
          </w:p>
          <w:p w14:paraId="0E58C828" w14:textId="35E6A3AB" w:rsidR="005B450A" w:rsidRPr="006A642B" w:rsidRDefault="005B450A" w:rsidP="006A642B">
            <w:pPr>
              <w:jc w:val="both"/>
              <w:rPr>
                <w:lang w:val="uk-UA"/>
              </w:rPr>
            </w:pPr>
            <w:r w:rsidRPr="003D0C46">
              <w:rPr>
                <w:lang w:val="uk-UA"/>
              </w:rPr>
              <w:t xml:space="preserve">Якщо </w:t>
            </w:r>
            <w:r w:rsidR="00B80FDD" w:rsidRPr="003D0C46">
              <w:rPr>
                <w:lang w:val="uk-UA"/>
              </w:rPr>
              <w:t>Остаточна вартість</w:t>
            </w:r>
            <w:r w:rsidRPr="003D0C46">
              <w:rPr>
                <w:lang w:val="uk-UA"/>
              </w:rPr>
              <w:t xml:space="preserve"> </w:t>
            </w:r>
            <w:r w:rsidRPr="00B80FDD">
              <w:rPr>
                <w:lang w:val="uk-UA"/>
              </w:rPr>
              <w:t>менше</w:t>
            </w:r>
            <w:r w:rsidRPr="003D0C46">
              <w:rPr>
                <w:lang w:val="uk-UA"/>
              </w:rPr>
              <w:t xml:space="preserve"> </w:t>
            </w:r>
            <w:r w:rsidR="00B80FDD" w:rsidRPr="003D0C46">
              <w:rPr>
                <w:lang w:val="uk-UA"/>
              </w:rPr>
              <w:t>Прогнозної вартості</w:t>
            </w:r>
            <w:r w:rsidRPr="008D3DB1">
              <w:rPr>
                <w:lang w:val="uk-UA"/>
              </w:rPr>
              <w:t xml:space="preserve">, </w:t>
            </w:r>
            <w:r w:rsidR="006A642B">
              <w:rPr>
                <w:lang w:val="uk-UA"/>
              </w:rPr>
              <w:t xml:space="preserve">відповідна різниця </w:t>
            </w:r>
            <w:r w:rsidR="006A642B" w:rsidRPr="006A642B">
              <w:rPr>
                <w:lang w:val="uk-UA"/>
              </w:rPr>
              <w:t xml:space="preserve">зараховується в рахунок погашення заборгованості за електричну енергію з найдавнішим </w:t>
            </w:r>
            <w:r w:rsidR="006A642B">
              <w:rPr>
                <w:lang w:val="uk-UA"/>
              </w:rPr>
              <w:t>терміном її</w:t>
            </w:r>
            <w:r w:rsidR="006A642B" w:rsidRPr="006A642B">
              <w:rPr>
                <w:lang w:val="uk-UA"/>
              </w:rPr>
              <w:t xml:space="preserve"> виникнення, а в </w:t>
            </w:r>
            <w:r w:rsidR="006A642B">
              <w:rPr>
                <w:lang w:val="uk-UA"/>
              </w:rPr>
              <w:t>разі</w:t>
            </w:r>
            <w:r w:rsidR="006A642B" w:rsidRPr="006A642B">
              <w:rPr>
                <w:lang w:val="uk-UA"/>
              </w:rPr>
              <w:t xml:space="preserve"> </w:t>
            </w:r>
            <w:r w:rsidR="006A642B">
              <w:rPr>
                <w:lang w:val="uk-UA"/>
              </w:rPr>
              <w:t xml:space="preserve">її відсутності – </w:t>
            </w:r>
            <w:r w:rsidR="006A642B" w:rsidRPr="006A642B">
              <w:rPr>
                <w:lang w:val="uk-UA"/>
              </w:rPr>
              <w:t xml:space="preserve"> в оплату наступних періодів</w:t>
            </w:r>
            <w:r w:rsidR="006A642B">
              <w:rPr>
                <w:lang w:val="uk-UA"/>
              </w:rPr>
              <w:t>.</w:t>
            </w:r>
          </w:p>
        </w:tc>
      </w:tr>
      <w:tr w:rsidR="00195B63" w:rsidRPr="00E134C5" w14:paraId="05E54F74" w14:textId="77777777">
        <w:tc>
          <w:tcPr>
            <w:tcW w:w="3119" w:type="dxa"/>
          </w:tcPr>
          <w:p w14:paraId="3DFFD7A4" w14:textId="77777777" w:rsidR="00195B63" w:rsidRPr="00E134C5" w:rsidRDefault="00195B63" w:rsidP="000A147E">
            <w:pPr>
              <w:rPr>
                <w:lang w:val="uk-UA"/>
              </w:rPr>
            </w:pPr>
            <w:r w:rsidRPr="00217B78">
              <w:rPr>
                <w:lang w:val="uk-UA"/>
              </w:rPr>
              <w:lastRenderedPageBreak/>
              <w:t>Маржинальний прибуток</w:t>
            </w:r>
          </w:p>
        </w:tc>
        <w:tc>
          <w:tcPr>
            <w:tcW w:w="7059" w:type="dxa"/>
          </w:tcPr>
          <w:p w14:paraId="1B0088B8" w14:textId="5C5B5551" w:rsidR="00195B63" w:rsidRDefault="002229FD" w:rsidP="000A147E">
            <w:pPr>
              <w:spacing w:line="252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0,10</w:t>
            </w:r>
            <w:r w:rsidR="00195B63" w:rsidRPr="00217B78">
              <w:rPr>
                <w:lang w:val="uk-UA"/>
              </w:rPr>
              <w:t xml:space="preserve"> грн./кВт</w:t>
            </w:r>
            <w:r w:rsidR="00195B63">
              <w:rPr>
                <w:lang w:val="uk-UA"/>
              </w:rPr>
              <w:t>*</w:t>
            </w:r>
          </w:p>
          <w:p w14:paraId="7E89C206" w14:textId="77777777" w:rsidR="00CE5AFC" w:rsidRPr="002229FD" w:rsidRDefault="00CE5AFC" w:rsidP="000A147E">
            <w:pPr>
              <w:spacing w:line="252" w:lineRule="auto"/>
              <w:jc w:val="both"/>
            </w:pPr>
          </w:p>
        </w:tc>
      </w:tr>
      <w:tr w:rsidR="00195B63" w:rsidRPr="00E134C5" w14:paraId="34A24995" w14:textId="77777777">
        <w:tc>
          <w:tcPr>
            <w:tcW w:w="3119" w:type="dxa"/>
          </w:tcPr>
          <w:p w14:paraId="4925BE93" w14:textId="77777777" w:rsidR="00195B63" w:rsidRPr="00217B78" w:rsidRDefault="00195B63" w:rsidP="00F9668C">
            <w:pPr>
              <w:rPr>
                <w:lang w:val="uk-UA"/>
              </w:rPr>
            </w:pPr>
            <w:proofErr w:type="spellStart"/>
            <w:r w:rsidRPr="005B769B">
              <w:t>Ціна</w:t>
            </w:r>
            <w:proofErr w:type="spellEnd"/>
            <w:r w:rsidRPr="005B769B">
              <w:t xml:space="preserve"> за результатами </w:t>
            </w:r>
            <w:proofErr w:type="spellStart"/>
            <w:r w:rsidRPr="005B769B">
              <w:t>місяця</w:t>
            </w:r>
            <w:proofErr w:type="spellEnd"/>
            <w:r>
              <w:rPr>
                <w:lang w:val="uk-UA"/>
              </w:rPr>
              <w:t>,</w:t>
            </w:r>
            <w:r w:rsidRPr="005B769B">
              <w:t xml:space="preserve"> </w:t>
            </w:r>
            <w:proofErr w:type="spellStart"/>
            <w:r w:rsidRPr="005B769B">
              <w:t>що</w:t>
            </w:r>
            <w:proofErr w:type="spellEnd"/>
            <w:r w:rsidRPr="005B769B">
              <w:t xml:space="preserve"> </w:t>
            </w:r>
            <w:proofErr w:type="spellStart"/>
            <w:r w:rsidRPr="005B769B">
              <w:t>аналізувався</w:t>
            </w:r>
            <w:proofErr w:type="spellEnd"/>
            <w:r w:rsidRPr="005B769B">
              <w:t xml:space="preserve"> </w:t>
            </w:r>
          </w:p>
        </w:tc>
        <w:tc>
          <w:tcPr>
            <w:tcW w:w="7059" w:type="dxa"/>
          </w:tcPr>
          <w:p w14:paraId="480CF866" w14:textId="77777777" w:rsidR="00195B63" w:rsidRPr="00F9668C" w:rsidRDefault="00195B63" w:rsidP="00225BA9">
            <w:pPr>
              <w:spacing w:line="252" w:lineRule="auto"/>
              <w:jc w:val="both"/>
              <w:rPr>
                <w:lang w:val="uk-UA"/>
              </w:rPr>
            </w:pPr>
            <w:r>
              <w:t xml:space="preserve">По результату </w:t>
            </w:r>
            <w:r w:rsidR="00225BA9">
              <w:rPr>
                <w:lang w:val="uk-UA"/>
              </w:rPr>
              <w:t>_____</w:t>
            </w:r>
            <w:proofErr w:type="gramStart"/>
            <w:r w:rsidR="00225BA9">
              <w:rPr>
                <w:lang w:val="uk-UA"/>
              </w:rPr>
              <w:t>_</w:t>
            </w:r>
            <w:r>
              <w:rPr>
                <w:lang w:val="uk-UA"/>
              </w:rPr>
              <w:t xml:space="preserve"> </w:t>
            </w:r>
            <w:r>
              <w:t xml:space="preserve"> 2020</w:t>
            </w:r>
            <w:proofErr w:type="gramEnd"/>
            <w:r>
              <w:t xml:space="preserve"> р. </w:t>
            </w:r>
            <w:proofErr w:type="spellStart"/>
            <w:r>
              <w:t>ціна</w:t>
            </w:r>
            <w:proofErr w:type="spellEnd"/>
            <w:r>
              <w:t xml:space="preserve"> </w:t>
            </w:r>
            <w:proofErr w:type="spellStart"/>
            <w:r>
              <w:t>склала</w:t>
            </w:r>
            <w:proofErr w:type="spellEnd"/>
            <w:r>
              <w:t xml:space="preserve"> </w:t>
            </w:r>
            <w:r w:rsidR="00225BA9">
              <w:rPr>
                <w:lang w:val="uk-UA"/>
              </w:rPr>
              <w:t>_____</w:t>
            </w:r>
            <w:r w:rsidRPr="005B769B">
              <w:t xml:space="preserve"> </w:t>
            </w:r>
            <w:proofErr w:type="spellStart"/>
            <w:r w:rsidRPr="005B769B">
              <w:t>грн</w:t>
            </w:r>
            <w:proofErr w:type="spellEnd"/>
            <w:r w:rsidRPr="005B769B">
              <w:t xml:space="preserve"> кВт/год без ПДВ</w:t>
            </w:r>
            <w:r>
              <w:rPr>
                <w:lang w:val="uk-UA"/>
              </w:rPr>
              <w:t>*</w:t>
            </w:r>
          </w:p>
        </w:tc>
      </w:tr>
      <w:tr w:rsidR="00195B63" w:rsidRPr="00DE4799" w14:paraId="52EC121E" w14:textId="77777777">
        <w:tc>
          <w:tcPr>
            <w:tcW w:w="3119" w:type="dxa"/>
          </w:tcPr>
          <w:p w14:paraId="50ED9B84" w14:textId="77777777" w:rsidR="00195B63" w:rsidRPr="00E134C5" w:rsidRDefault="00195B63" w:rsidP="00257C8A">
            <w:pPr>
              <w:rPr>
                <w:lang w:val="uk-UA"/>
              </w:rPr>
            </w:pPr>
            <w:r w:rsidRPr="00E134C5">
              <w:rPr>
                <w:lang w:val="uk-UA"/>
              </w:rPr>
              <w:t>Спосіб оплати</w:t>
            </w:r>
          </w:p>
        </w:tc>
        <w:tc>
          <w:tcPr>
            <w:tcW w:w="7059" w:type="dxa"/>
          </w:tcPr>
          <w:p w14:paraId="4673EE3F" w14:textId="2D07CF3B" w:rsidR="00195B63" w:rsidRPr="00E134C5" w:rsidRDefault="00195B63" w:rsidP="003D0C46">
            <w:pPr>
              <w:pStyle w:val="af4"/>
              <w:rPr>
                <w:color w:val="000000"/>
              </w:rPr>
            </w:pPr>
            <w:r w:rsidRPr="00E134C5">
              <w:rPr>
                <w:color w:val="000000"/>
              </w:rPr>
              <w:t xml:space="preserve">60% (шістдесят відсотків) </w:t>
            </w:r>
            <w:r w:rsidR="00FF5C16">
              <w:rPr>
                <w:color w:val="000000"/>
              </w:rPr>
              <w:t xml:space="preserve">Прогнозної </w:t>
            </w:r>
            <w:r w:rsidRPr="00E134C5">
              <w:rPr>
                <w:color w:val="000000"/>
              </w:rPr>
              <w:t>вартості</w:t>
            </w:r>
            <w:r w:rsidRPr="00E134C5">
              <w:rPr>
                <w:color w:val="000000"/>
                <w:lang w:eastAsia="ar-SA"/>
              </w:rPr>
              <w:t xml:space="preserve"> </w:t>
            </w:r>
            <w:r w:rsidR="00354285">
              <w:rPr>
                <w:color w:val="000000"/>
                <w:lang w:eastAsia="ar-SA"/>
              </w:rPr>
              <w:t xml:space="preserve">повинні бути сплачені Споживачем протягом </w:t>
            </w:r>
            <w:r w:rsidR="00354285" w:rsidRPr="003D0C46">
              <w:rPr>
                <w:color w:val="000000"/>
              </w:rPr>
              <w:t xml:space="preserve">5 днів з дня надання </w:t>
            </w:r>
            <w:r w:rsidR="00354285">
              <w:rPr>
                <w:color w:val="000000"/>
                <w:lang w:eastAsia="ar-SA"/>
              </w:rPr>
              <w:t>рахунку</w:t>
            </w:r>
            <w:r w:rsidR="00354285" w:rsidRPr="003D0C46">
              <w:rPr>
                <w:color w:val="000000"/>
              </w:rPr>
              <w:t xml:space="preserve"> </w:t>
            </w:r>
            <w:r w:rsidR="00354285">
              <w:rPr>
                <w:color w:val="000000"/>
                <w:lang w:eastAsia="ar-SA"/>
              </w:rPr>
              <w:t>С</w:t>
            </w:r>
            <w:r w:rsidR="00354285" w:rsidRPr="003D0C46">
              <w:rPr>
                <w:color w:val="000000"/>
              </w:rPr>
              <w:t>поживач</w:t>
            </w:r>
            <w:r w:rsidR="00354285">
              <w:rPr>
                <w:color w:val="000000"/>
                <w:lang w:eastAsia="ar-SA"/>
              </w:rPr>
              <w:t>у</w:t>
            </w:r>
            <w:r w:rsidRPr="00E134C5">
              <w:rPr>
                <w:color w:val="000000"/>
              </w:rPr>
              <w:t>;</w:t>
            </w:r>
          </w:p>
          <w:p w14:paraId="6887B1D0" w14:textId="364AD01C" w:rsidR="00195B63" w:rsidRPr="00E134C5" w:rsidRDefault="00195B63" w:rsidP="00AD5671">
            <w:pPr>
              <w:jc w:val="both"/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 xml:space="preserve">40% (сорок відсотків) </w:t>
            </w:r>
            <w:r w:rsidR="00FF5C16">
              <w:rPr>
                <w:color w:val="000000"/>
                <w:lang w:val="uk-UA"/>
              </w:rPr>
              <w:t xml:space="preserve">Прогнозної </w:t>
            </w:r>
            <w:r w:rsidRPr="00E134C5">
              <w:rPr>
                <w:color w:val="000000"/>
                <w:lang w:val="uk-UA"/>
              </w:rPr>
              <w:t xml:space="preserve">вартості </w:t>
            </w:r>
            <w:r w:rsidR="00354285" w:rsidRPr="00354285">
              <w:rPr>
                <w:color w:val="000000"/>
                <w:lang w:val="uk-UA"/>
              </w:rPr>
              <w:t>повинні бути сплачені Споживачем протягом 5 днів з дня надання рахунку Споживачу</w:t>
            </w:r>
            <w:r w:rsidRPr="00E134C5">
              <w:rPr>
                <w:color w:val="000000"/>
                <w:lang w:val="uk-UA"/>
              </w:rPr>
              <w:t>;</w:t>
            </w:r>
          </w:p>
          <w:p w14:paraId="55BDE0AC" w14:textId="77777777" w:rsidR="00195B63" w:rsidRDefault="00195B63" w:rsidP="00A52708">
            <w:pPr>
              <w:jc w:val="both"/>
              <w:rPr>
                <w:lang w:val="uk-UA"/>
              </w:rPr>
            </w:pPr>
          </w:p>
          <w:p w14:paraId="7060F6E1" w14:textId="77751AAC" w:rsidR="00CE5AFC" w:rsidRPr="00E134C5" w:rsidRDefault="00354285" w:rsidP="00A52708">
            <w:pPr>
              <w:jc w:val="both"/>
              <w:rPr>
                <w:lang w:val="uk-UA"/>
              </w:rPr>
            </w:pPr>
            <w:r w:rsidRPr="003D0C46">
              <w:rPr>
                <w:lang w:val="uk-UA"/>
              </w:rPr>
              <w:t xml:space="preserve">Якщо </w:t>
            </w:r>
            <w:r w:rsidR="00E8625E" w:rsidRPr="003D0C46">
              <w:rPr>
                <w:lang w:val="uk-UA"/>
              </w:rPr>
              <w:t>Остаточна вартість</w:t>
            </w:r>
            <w:r w:rsidRPr="003D0C46">
              <w:rPr>
                <w:lang w:val="uk-UA"/>
              </w:rPr>
              <w:t xml:space="preserve"> більше </w:t>
            </w:r>
            <w:r w:rsidR="00E8625E" w:rsidRPr="003D0C46">
              <w:rPr>
                <w:lang w:val="uk-UA"/>
              </w:rPr>
              <w:t>Прогнозної вартості</w:t>
            </w:r>
            <w:r w:rsidRPr="003D0C46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відповідна різниця повинна бути сплачена </w:t>
            </w:r>
            <w:r w:rsidRPr="00354285">
              <w:rPr>
                <w:lang w:val="uk-UA"/>
              </w:rPr>
              <w:t>Споживачем протягом 5 днів з дня надання рахунку Споживачу</w:t>
            </w:r>
            <w:r>
              <w:rPr>
                <w:lang w:val="uk-UA"/>
              </w:rPr>
              <w:t>.</w:t>
            </w:r>
          </w:p>
        </w:tc>
      </w:tr>
      <w:tr w:rsidR="00195B63" w:rsidRPr="00E134C5" w14:paraId="3077ECE4" w14:textId="77777777">
        <w:tc>
          <w:tcPr>
            <w:tcW w:w="3119" w:type="dxa"/>
          </w:tcPr>
          <w:p w14:paraId="457FF6D1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color w:val="000000"/>
                <w:lang w:val="uk-UA"/>
              </w:rPr>
              <w:t>Розрахунковий період</w:t>
            </w:r>
          </w:p>
        </w:tc>
        <w:tc>
          <w:tcPr>
            <w:tcW w:w="7059" w:type="dxa"/>
          </w:tcPr>
          <w:p w14:paraId="592C9BAC" w14:textId="77777777" w:rsidR="00195B63" w:rsidRDefault="00195B63" w:rsidP="00AD5671">
            <w:pPr>
              <w:jc w:val="both"/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>Календарний місяць (розрахунковим періодом вважається період, який починається з 01 числа поточного місяця та триває до останнього календарного дня місяця (включно)).</w:t>
            </w:r>
          </w:p>
          <w:p w14:paraId="1F5CF6F8" w14:textId="77777777" w:rsidR="00CE5AFC" w:rsidRDefault="00CE5AFC" w:rsidP="00AD5671">
            <w:pPr>
              <w:jc w:val="both"/>
              <w:rPr>
                <w:color w:val="000000"/>
                <w:lang w:val="uk-UA"/>
              </w:rPr>
            </w:pPr>
          </w:p>
          <w:p w14:paraId="4C7B47A2" w14:textId="77777777" w:rsidR="00195B63" w:rsidRPr="00E134C5" w:rsidRDefault="00195B63" w:rsidP="00AD5671">
            <w:pPr>
              <w:jc w:val="both"/>
              <w:rPr>
                <w:color w:val="000000"/>
                <w:lang w:val="uk-UA"/>
              </w:rPr>
            </w:pPr>
          </w:p>
        </w:tc>
      </w:tr>
      <w:tr w:rsidR="00195B63" w:rsidRPr="003E787B" w14:paraId="42BD671B" w14:textId="77777777">
        <w:tc>
          <w:tcPr>
            <w:tcW w:w="3119" w:type="dxa"/>
          </w:tcPr>
          <w:p w14:paraId="03C7B4E8" w14:textId="77777777" w:rsidR="00195B63" w:rsidRPr="00E134C5" w:rsidRDefault="00195B63" w:rsidP="000262B1">
            <w:pPr>
              <w:rPr>
                <w:lang w:val="uk-UA"/>
              </w:rPr>
            </w:pPr>
            <w:r w:rsidRPr="00E134C5">
              <w:rPr>
                <w:lang w:val="uk-UA"/>
              </w:rPr>
              <w:lastRenderedPageBreak/>
              <w:t xml:space="preserve">Надання рахунку за електричну енергію </w:t>
            </w:r>
          </w:p>
        </w:tc>
        <w:tc>
          <w:tcPr>
            <w:tcW w:w="7059" w:type="dxa"/>
          </w:tcPr>
          <w:p w14:paraId="7A9E1A40" w14:textId="5E2AF526" w:rsidR="003E787B" w:rsidRDefault="003E787B" w:rsidP="0084102A">
            <w:pPr>
              <w:jc w:val="both"/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 xml:space="preserve">Рахунок </w:t>
            </w:r>
            <w:r>
              <w:rPr>
                <w:color w:val="000000"/>
                <w:lang w:val="uk-UA"/>
              </w:rPr>
              <w:t xml:space="preserve">на оплату </w:t>
            </w:r>
            <w:r w:rsidRPr="00E134C5">
              <w:rPr>
                <w:color w:val="000000"/>
                <w:lang w:val="uk-UA"/>
              </w:rPr>
              <w:t>60% (шістдесят</w:t>
            </w:r>
            <w:r>
              <w:rPr>
                <w:color w:val="000000"/>
                <w:lang w:val="uk-UA"/>
              </w:rPr>
              <w:t>и</w:t>
            </w:r>
            <w:r w:rsidRPr="00E134C5">
              <w:rPr>
                <w:color w:val="000000"/>
                <w:lang w:val="uk-UA"/>
              </w:rPr>
              <w:t xml:space="preserve"> відсотків) </w:t>
            </w:r>
            <w:r w:rsidR="00E8625E">
              <w:rPr>
                <w:color w:val="000000"/>
                <w:lang w:val="uk-UA"/>
              </w:rPr>
              <w:t>Прогнозної вартості направляється</w:t>
            </w:r>
            <w:r>
              <w:rPr>
                <w:color w:val="000000"/>
                <w:lang w:val="uk-UA"/>
              </w:rPr>
              <w:t xml:space="preserve"> на електронну адресу Споживача</w:t>
            </w:r>
            <w:r w:rsidR="00E8625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до</w:t>
            </w:r>
            <w:r w:rsidRPr="00E134C5">
              <w:rPr>
                <w:color w:val="000000"/>
                <w:lang w:val="uk-UA"/>
              </w:rPr>
              <w:t xml:space="preserve"> 2</w:t>
            </w:r>
            <w:r>
              <w:rPr>
                <w:color w:val="000000"/>
                <w:lang w:val="uk-UA"/>
              </w:rPr>
              <w:t>4</w:t>
            </w:r>
            <w:r w:rsidRPr="00E134C5">
              <w:rPr>
                <w:color w:val="000000"/>
                <w:lang w:val="uk-UA"/>
              </w:rPr>
              <w:t xml:space="preserve"> числа місяця, що передує розрахунковому</w:t>
            </w:r>
            <w:r>
              <w:rPr>
                <w:color w:val="000000"/>
                <w:lang w:val="uk-UA"/>
              </w:rPr>
              <w:t xml:space="preserve"> періоду</w:t>
            </w:r>
            <w:r w:rsidRPr="00E134C5">
              <w:rPr>
                <w:color w:val="000000"/>
                <w:lang w:val="uk-UA"/>
              </w:rPr>
              <w:t xml:space="preserve">. </w:t>
            </w:r>
          </w:p>
          <w:p w14:paraId="309EA9A6" w14:textId="77777777" w:rsidR="003E787B" w:rsidRDefault="003E787B" w:rsidP="0084102A">
            <w:pPr>
              <w:jc w:val="both"/>
              <w:rPr>
                <w:color w:val="000000"/>
                <w:lang w:val="uk-UA"/>
              </w:rPr>
            </w:pPr>
          </w:p>
          <w:p w14:paraId="66983862" w14:textId="556AB2AD" w:rsidR="00CE5AFC" w:rsidRDefault="003E787B" w:rsidP="0084102A">
            <w:pPr>
              <w:jc w:val="both"/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 xml:space="preserve">Рахунок </w:t>
            </w:r>
            <w:r>
              <w:rPr>
                <w:color w:val="000000"/>
                <w:lang w:val="uk-UA"/>
              </w:rPr>
              <w:t>на оплату 4</w:t>
            </w:r>
            <w:r w:rsidRPr="00E134C5">
              <w:rPr>
                <w:color w:val="000000"/>
                <w:lang w:val="uk-UA"/>
              </w:rPr>
              <w:t>0% (</w:t>
            </w:r>
            <w:r>
              <w:rPr>
                <w:color w:val="000000"/>
                <w:lang w:val="uk-UA"/>
              </w:rPr>
              <w:t>сорока</w:t>
            </w:r>
            <w:r w:rsidRPr="00E134C5">
              <w:rPr>
                <w:color w:val="000000"/>
                <w:lang w:val="uk-UA"/>
              </w:rPr>
              <w:t xml:space="preserve"> відсотків) </w:t>
            </w:r>
            <w:r w:rsidR="00E8625E">
              <w:rPr>
                <w:color w:val="000000"/>
                <w:lang w:val="uk-UA"/>
              </w:rPr>
              <w:t xml:space="preserve">Прогнозної вартості </w:t>
            </w:r>
            <w:r>
              <w:rPr>
                <w:color w:val="000000"/>
                <w:lang w:val="uk-UA"/>
              </w:rPr>
              <w:t>направляється на електронну адресу Споживача</w:t>
            </w:r>
            <w:r w:rsidRPr="00E134C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до</w:t>
            </w:r>
            <w:r w:rsidRPr="00E134C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4</w:t>
            </w:r>
            <w:r w:rsidRPr="00E134C5">
              <w:rPr>
                <w:color w:val="000000"/>
                <w:lang w:val="uk-UA"/>
              </w:rPr>
              <w:t xml:space="preserve"> числа розрахунково</w:t>
            </w:r>
            <w:r>
              <w:rPr>
                <w:color w:val="000000"/>
                <w:lang w:val="uk-UA"/>
              </w:rPr>
              <w:t>го періоду</w:t>
            </w:r>
            <w:r w:rsidRPr="00E134C5">
              <w:rPr>
                <w:color w:val="000000"/>
                <w:lang w:val="uk-UA"/>
              </w:rPr>
              <w:t>.</w:t>
            </w:r>
          </w:p>
          <w:p w14:paraId="41AC7996" w14:textId="77777777" w:rsidR="00354285" w:rsidRDefault="00354285" w:rsidP="0084102A">
            <w:pPr>
              <w:jc w:val="both"/>
              <w:rPr>
                <w:color w:val="000000"/>
                <w:lang w:val="uk-UA"/>
              </w:rPr>
            </w:pPr>
          </w:p>
          <w:p w14:paraId="3C4F214D" w14:textId="2172A6C2" w:rsidR="00354285" w:rsidRPr="003D0C46" w:rsidRDefault="00354285" w:rsidP="0084102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Якщо </w:t>
            </w:r>
            <w:r w:rsidR="00890684">
              <w:rPr>
                <w:lang w:val="uk-UA"/>
              </w:rPr>
              <w:t>Остаточна вартість</w:t>
            </w:r>
            <w:r w:rsidR="00890684" w:rsidRPr="00366608">
              <w:rPr>
                <w:lang w:val="uk-UA"/>
              </w:rPr>
              <w:t xml:space="preserve"> більше </w:t>
            </w:r>
            <w:r w:rsidR="00890684">
              <w:rPr>
                <w:lang w:val="uk-UA"/>
              </w:rPr>
              <w:t>Прогнозної</w:t>
            </w:r>
            <w:r w:rsidR="00890684" w:rsidRPr="00366608">
              <w:rPr>
                <w:lang w:val="uk-UA"/>
              </w:rPr>
              <w:t xml:space="preserve"> вартості</w:t>
            </w:r>
            <w:r w:rsidR="005B450A" w:rsidRPr="003D0C46">
              <w:rPr>
                <w:lang w:val="uk-UA"/>
              </w:rPr>
              <w:t xml:space="preserve">, </w:t>
            </w:r>
            <w:r w:rsidR="005B450A">
              <w:rPr>
                <w:lang w:val="uk-UA"/>
              </w:rPr>
              <w:t xml:space="preserve">рахунок на оплату відповідної різниці </w:t>
            </w:r>
            <w:r w:rsidR="005B450A" w:rsidRPr="005B450A">
              <w:rPr>
                <w:lang w:val="uk-UA"/>
              </w:rPr>
              <w:t xml:space="preserve">направляється на електронну адресу Споживача до </w:t>
            </w:r>
            <w:r w:rsidR="00955EEC">
              <w:rPr>
                <w:lang w:val="en-US"/>
              </w:rPr>
              <w:t>1</w:t>
            </w:r>
            <w:bookmarkStart w:id="0" w:name="_GoBack"/>
            <w:bookmarkEnd w:id="0"/>
            <w:r w:rsidR="005B450A" w:rsidRPr="005B450A">
              <w:rPr>
                <w:lang w:val="uk-UA"/>
              </w:rPr>
              <w:t xml:space="preserve">5 числа </w:t>
            </w:r>
            <w:r w:rsidR="005B450A">
              <w:rPr>
                <w:lang w:val="uk-UA"/>
              </w:rPr>
              <w:t xml:space="preserve">місяця, наступного за </w:t>
            </w:r>
            <w:r w:rsidR="005B450A" w:rsidRPr="005B450A">
              <w:rPr>
                <w:lang w:val="uk-UA"/>
              </w:rPr>
              <w:t>розрахунков</w:t>
            </w:r>
            <w:r w:rsidR="005B450A">
              <w:rPr>
                <w:lang w:val="uk-UA"/>
              </w:rPr>
              <w:t>им</w:t>
            </w:r>
            <w:r w:rsidR="005B450A" w:rsidRPr="005B450A">
              <w:rPr>
                <w:lang w:val="uk-UA"/>
              </w:rPr>
              <w:t xml:space="preserve"> період</w:t>
            </w:r>
            <w:r w:rsidR="005B450A">
              <w:rPr>
                <w:lang w:val="uk-UA"/>
              </w:rPr>
              <w:t>ом,</w:t>
            </w:r>
          </w:p>
        </w:tc>
      </w:tr>
      <w:tr w:rsidR="00195B63" w:rsidRPr="00E134C5" w14:paraId="7DAD9360" w14:textId="77777777">
        <w:tc>
          <w:tcPr>
            <w:tcW w:w="3119" w:type="dxa"/>
          </w:tcPr>
          <w:p w14:paraId="7729525E" w14:textId="22A6AD0C" w:rsidR="00195B63" w:rsidRPr="007253EB" w:rsidRDefault="00195B63" w:rsidP="00AD5671">
            <w:pPr>
              <w:rPr>
                <w:lang w:val="uk-UA"/>
              </w:rPr>
            </w:pPr>
            <w:r w:rsidRPr="007253EB">
              <w:rPr>
                <w:lang w:val="uk-UA"/>
              </w:rPr>
              <w:t xml:space="preserve">Оплата послуг </w:t>
            </w:r>
            <w:r w:rsidR="00863DEB">
              <w:rPr>
                <w:lang w:val="uk-UA"/>
              </w:rPr>
              <w:t>оператора системи</w:t>
            </w:r>
            <w:r w:rsidR="00863DEB" w:rsidRPr="007253EB">
              <w:rPr>
                <w:lang w:val="uk-UA"/>
              </w:rPr>
              <w:t xml:space="preserve"> </w:t>
            </w:r>
            <w:r w:rsidRPr="007253EB">
              <w:rPr>
                <w:lang w:val="uk-UA"/>
              </w:rPr>
              <w:t xml:space="preserve">розподілу </w:t>
            </w:r>
            <w:r w:rsidR="00863DEB">
              <w:rPr>
                <w:lang w:val="uk-UA"/>
              </w:rPr>
              <w:t xml:space="preserve">та </w:t>
            </w:r>
            <w:r w:rsidR="00863DEB" w:rsidRPr="00863DEB">
              <w:rPr>
                <w:lang w:val="uk-UA"/>
              </w:rPr>
              <w:t>послуг постачальника послуг комерційного обліку</w:t>
            </w:r>
          </w:p>
        </w:tc>
        <w:tc>
          <w:tcPr>
            <w:tcW w:w="7059" w:type="dxa"/>
          </w:tcPr>
          <w:p w14:paraId="0749DF01" w14:textId="6EC1BA4E" w:rsidR="00195B63" w:rsidRPr="009C124C" w:rsidRDefault="009C124C" w:rsidP="00AD567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863DEB">
              <w:rPr>
                <w:color w:val="000000"/>
                <w:lang w:val="uk-UA"/>
              </w:rPr>
              <w:t xml:space="preserve">плата відповідних послуг </w:t>
            </w:r>
            <w:r w:rsidR="008E79B3">
              <w:rPr>
                <w:color w:val="000000"/>
                <w:lang w:val="uk-UA"/>
              </w:rPr>
              <w:t>забезпечується</w:t>
            </w:r>
            <w:r w:rsidR="00863DEB">
              <w:rPr>
                <w:color w:val="000000"/>
                <w:lang w:val="uk-UA"/>
              </w:rPr>
              <w:t xml:space="preserve"> Споживачем самостійно</w:t>
            </w:r>
          </w:p>
          <w:p w14:paraId="37FCF0C5" w14:textId="77777777" w:rsidR="00195B63" w:rsidRPr="007253EB" w:rsidRDefault="00195B63" w:rsidP="00AD5671">
            <w:pPr>
              <w:rPr>
                <w:lang w:val="uk-UA"/>
              </w:rPr>
            </w:pPr>
          </w:p>
        </w:tc>
      </w:tr>
      <w:tr w:rsidR="00195B63" w:rsidRPr="00DD555B" w14:paraId="5AF86511" w14:textId="77777777">
        <w:tc>
          <w:tcPr>
            <w:tcW w:w="3119" w:type="dxa"/>
          </w:tcPr>
          <w:p w14:paraId="06FBB39A" w14:textId="77777777" w:rsidR="00195B63" w:rsidRPr="00E134C5" w:rsidRDefault="00195B63" w:rsidP="000A147E">
            <w:pPr>
              <w:rPr>
                <w:lang w:val="uk-UA"/>
              </w:rPr>
            </w:pPr>
            <w:r w:rsidRPr="00E134C5">
              <w:rPr>
                <w:lang w:val="uk-UA"/>
              </w:rPr>
              <w:t>Прогнозування обсягів споживання електричної енергії</w:t>
            </w:r>
          </w:p>
        </w:tc>
        <w:tc>
          <w:tcPr>
            <w:tcW w:w="7059" w:type="dxa"/>
          </w:tcPr>
          <w:p w14:paraId="0125D9D0" w14:textId="62A064A6" w:rsidR="00195B63" w:rsidRPr="00D33746" w:rsidRDefault="00195B63" w:rsidP="000237CC">
            <w:pPr>
              <w:spacing w:line="254" w:lineRule="auto"/>
              <w:jc w:val="both"/>
              <w:rPr>
                <w:color w:val="000000"/>
                <w:lang w:val="uk-UA"/>
              </w:rPr>
            </w:pPr>
            <w:r w:rsidRPr="00360C3A">
              <w:rPr>
                <w:color w:val="000000"/>
                <w:lang w:val="uk-UA"/>
              </w:rPr>
              <w:t xml:space="preserve"> </w:t>
            </w:r>
            <w:r w:rsidRPr="000237CC">
              <w:rPr>
                <w:color w:val="000000"/>
                <w:lang w:val="uk-UA"/>
              </w:rPr>
              <w:t xml:space="preserve">Споживач зобов’язаний до 15 числа місяця, що передує розрахунковому, надати Постачальнику </w:t>
            </w:r>
            <w:r w:rsidR="00890684" w:rsidRPr="003D0C46">
              <w:rPr>
                <w:lang w:val="uk-UA"/>
              </w:rPr>
              <w:t>Заявк</w:t>
            </w:r>
            <w:r w:rsidR="00890684">
              <w:rPr>
                <w:lang w:val="uk-UA"/>
              </w:rPr>
              <w:t>у</w:t>
            </w:r>
            <w:r w:rsidR="00890684" w:rsidRPr="003D0C46">
              <w:rPr>
                <w:lang w:val="uk-UA"/>
              </w:rPr>
              <w:t xml:space="preserve"> про прогнозні обсяги споживання</w:t>
            </w:r>
            <w:r w:rsidRPr="000237CC">
              <w:rPr>
                <w:color w:val="000000"/>
                <w:lang w:val="uk-UA"/>
              </w:rPr>
              <w:t xml:space="preserve"> на</w:t>
            </w:r>
            <w:r w:rsidR="00890684">
              <w:rPr>
                <w:color w:val="000000"/>
                <w:lang w:val="uk-UA"/>
              </w:rPr>
              <w:t xml:space="preserve"> наступний</w:t>
            </w:r>
            <w:r w:rsidRPr="000237CC">
              <w:rPr>
                <w:color w:val="000000"/>
                <w:lang w:val="uk-UA"/>
              </w:rPr>
              <w:t xml:space="preserve"> розрахунковий місяць. </w:t>
            </w:r>
            <w:r w:rsidR="00890684">
              <w:rPr>
                <w:color w:val="000000"/>
                <w:lang w:val="uk-UA"/>
              </w:rPr>
              <w:t>Заявка</w:t>
            </w:r>
            <w:r w:rsidR="00890684" w:rsidRPr="000237CC">
              <w:rPr>
                <w:color w:val="000000"/>
                <w:lang w:val="uk-UA"/>
              </w:rPr>
              <w:t xml:space="preserve"> </w:t>
            </w:r>
            <w:r w:rsidRPr="000237CC">
              <w:rPr>
                <w:color w:val="000000"/>
                <w:lang w:val="uk-UA"/>
              </w:rPr>
              <w:t xml:space="preserve">надається за підписом керівника (уповноваженої особи) </w:t>
            </w:r>
            <w:r w:rsidRPr="00EB51A5">
              <w:rPr>
                <w:color w:val="000000"/>
                <w:lang w:val="uk-UA"/>
              </w:rPr>
              <w:t>Споживача, шляхом направлення на електрону адресу Постачальника</w:t>
            </w:r>
            <w:r w:rsidR="00DD555B">
              <w:rPr>
                <w:color w:val="000000"/>
                <w:lang w:val="uk-UA"/>
              </w:rPr>
              <w:t xml:space="preserve">, </w:t>
            </w:r>
            <w:r w:rsidRPr="00EB51A5">
              <w:rPr>
                <w:color w:val="000000"/>
                <w:lang w:val="uk-UA"/>
              </w:rPr>
              <w:t>Споживач має право на коригування обсягу споживання електричної енергії на розрахунковий місяць</w:t>
            </w:r>
            <w:r w:rsidR="00890684">
              <w:rPr>
                <w:color w:val="000000"/>
                <w:lang w:val="uk-UA"/>
              </w:rPr>
              <w:t xml:space="preserve"> </w:t>
            </w:r>
            <w:r w:rsidRPr="00EB51A5">
              <w:rPr>
                <w:color w:val="000000"/>
                <w:lang w:val="uk-UA"/>
              </w:rPr>
              <w:t>шляхом направлення повідомлення про коригування обсягу</w:t>
            </w:r>
            <w:r w:rsidR="00B46841">
              <w:rPr>
                <w:color w:val="000000"/>
                <w:lang w:val="uk-UA"/>
              </w:rPr>
              <w:t xml:space="preserve"> </w:t>
            </w:r>
            <w:r w:rsidR="00890684">
              <w:rPr>
                <w:color w:val="000000"/>
                <w:lang w:val="uk-UA"/>
              </w:rPr>
              <w:t>не пізніше, ніж за 3 дн</w:t>
            </w:r>
            <w:r w:rsidR="00890684" w:rsidRPr="00D33746">
              <w:rPr>
                <w:color w:val="000000"/>
                <w:lang w:val="uk-UA"/>
              </w:rPr>
              <w:t xml:space="preserve">і до </w:t>
            </w:r>
            <w:r w:rsidR="00236249" w:rsidRPr="00D33746">
              <w:rPr>
                <w:color w:val="000000"/>
                <w:lang w:val="uk-UA"/>
              </w:rPr>
              <w:t>розрахункової доби</w:t>
            </w:r>
            <w:r w:rsidRPr="00D33746">
              <w:rPr>
                <w:color w:val="000000"/>
                <w:lang w:val="uk-UA"/>
              </w:rPr>
              <w:t>.</w:t>
            </w:r>
          </w:p>
          <w:p w14:paraId="2421C340" w14:textId="447ECBF5" w:rsidR="00195B63" w:rsidRPr="00D33746" w:rsidRDefault="00195B63" w:rsidP="000237CC">
            <w:pPr>
              <w:jc w:val="both"/>
              <w:rPr>
                <w:color w:val="000000"/>
                <w:lang w:val="uk-UA"/>
              </w:rPr>
            </w:pPr>
            <w:r w:rsidRPr="00D33746">
              <w:rPr>
                <w:color w:val="000000"/>
                <w:lang w:val="uk-UA"/>
              </w:rPr>
              <w:t xml:space="preserve">Споживач, віднесений до групи «а», має право на коригування добового погодинного графіку та може за </w:t>
            </w:r>
            <w:r w:rsidR="00DA6ACA" w:rsidRPr="00D33746">
              <w:rPr>
                <w:color w:val="000000"/>
                <w:lang w:val="uk-UA"/>
              </w:rPr>
              <w:t xml:space="preserve">3 </w:t>
            </w:r>
            <w:r w:rsidRPr="00D33746">
              <w:rPr>
                <w:color w:val="000000"/>
                <w:lang w:val="uk-UA"/>
              </w:rPr>
              <w:t xml:space="preserve">дні до настання </w:t>
            </w:r>
            <w:r w:rsidRPr="00D33746">
              <w:rPr>
                <w:color w:val="000000"/>
                <w:lang w:val="en-US"/>
              </w:rPr>
              <w:t>N</w:t>
            </w:r>
            <w:r w:rsidRPr="00D33746">
              <w:rPr>
                <w:color w:val="000000"/>
              </w:rPr>
              <w:t xml:space="preserve"> </w:t>
            </w:r>
            <w:r w:rsidRPr="00D33746">
              <w:rPr>
                <w:color w:val="000000"/>
                <w:lang w:val="uk-UA"/>
              </w:rPr>
              <w:t xml:space="preserve">дня (коригування), додатково повідомити Постачальника про добовий погодинний графік споживання електричної енергії у розрахунковому місяці. </w:t>
            </w:r>
          </w:p>
          <w:p w14:paraId="0D824E09" w14:textId="549170F0" w:rsidR="00CE5AFC" w:rsidRPr="00E134C5" w:rsidRDefault="00DA6ACA" w:rsidP="000237CC">
            <w:pPr>
              <w:jc w:val="both"/>
              <w:rPr>
                <w:color w:val="000000"/>
                <w:lang w:val="uk-UA"/>
              </w:rPr>
            </w:pPr>
            <w:r w:rsidRPr="00D33746">
              <w:rPr>
                <w:color w:val="000000"/>
                <w:lang w:val="uk-UA"/>
              </w:rPr>
              <w:t>Споживач</w:t>
            </w:r>
            <w:r w:rsidR="00DD555B" w:rsidRPr="00D33746">
              <w:rPr>
                <w:color w:val="000000"/>
                <w:lang w:val="uk-UA"/>
              </w:rPr>
              <w:t xml:space="preserve">, віднесений до групи «б», </w:t>
            </w:r>
            <w:r w:rsidRPr="00D33746">
              <w:rPr>
                <w:color w:val="000000"/>
                <w:lang w:val="uk-UA"/>
              </w:rPr>
              <w:t xml:space="preserve">має право на коригування обсягу споживання електричної енергії на розрахунковий місяць та </w:t>
            </w:r>
            <w:r w:rsidR="00236249" w:rsidRPr="00D33746">
              <w:rPr>
                <w:color w:val="000000"/>
                <w:lang w:val="uk-UA"/>
              </w:rPr>
              <w:t>розрахункову добу</w:t>
            </w:r>
            <w:r w:rsidRPr="00D33746">
              <w:rPr>
                <w:color w:val="000000"/>
                <w:lang w:val="uk-UA"/>
              </w:rPr>
              <w:t xml:space="preserve"> до 15 числа відповідного розрахункового місяця.</w:t>
            </w:r>
          </w:p>
        </w:tc>
      </w:tr>
      <w:tr w:rsidR="00195B63" w:rsidRPr="00E134C5" w14:paraId="5F07BDED" w14:textId="77777777">
        <w:tc>
          <w:tcPr>
            <w:tcW w:w="3119" w:type="dxa"/>
          </w:tcPr>
          <w:p w14:paraId="064A270E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 xml:space="preserve">Розмір пені за порушення строку оплати </w:t>
            </w:r>
          </w:p>
        </w:tc>
        <w:tc>
          <w:tcPr>
            <w:tcW w:w="7059" w:type="dxa"/>
          </w:tcPr>
          <w:p w14:paraId="65C8EA72" w14:textId="77777777" w:rsidR="00195B63" w:rsidRDefault="00195B63" w:rsidP="00AD5671">
            <w:pPr>
              <w:jc w:val="both"/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 xml:space="preserve">У разі порушення Споживачем термінів оплати, встановлених Сторонами, Постачальник має право нарахувати Споживачеві пеню за кожен день простроченого платежу, враховуючи день фактичної оплати, у розмірі подвійної облікової ставки Національного банку України від суми простроченого платежу. </w:t>
            </w:r>
          </w:p>
          <w:p w14:paraId="67D7179D" w14:textId="77777777" w:rsidR="00195B63" w:rsidRDefault="00195B63" w:rsidP="00AD5671">
            <w:pPr>
              <w:jc w:val="both"/>
              <w:rPr>
                <w:color w:val="000000"/>
                <w:lang w:val="uk-UA"/>
              </w:rPr>
            </w:pPr>
          </w:p>
          <w:p w14:paraId="41B1DA12" w14:textId="77777777" w:rsidR="00CE5AFC" w:rsidRPr="00E134C5" w:rsidRDefault="00CE5AFC" w:rsidP="00AD5671">
            <w:pPr>
              <w:jc w:val="both"/>
              <w:rPr>
                <w:color w:val="000000"/>
                <w:lang w:val="uk-UA"/>
              </w:rPr>
            </w:pPr>
          </w:p>
        </w:tc>
      </w:tr>
      <w:tr w:rsidR="00195B63" w:rsidRPr="003B10C4" w14:paraId="401AB6AD" w14:textId="77777777">
        <w:tc>
          <w:tcPr>
            <w:tcW w:w="3119" w:type="dxa"/>
          </w:tcPr>
          <w:p w14:paraId="470E21B0" w14:textId="6AA68F69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 xml:space="preserve">Штраф за дострокове розірвання </w:t>
            </w:r>
            <w:r w:rsidR="00C45B90">
              <w:rPr>
                <w:lang w:val="uk-UA"/>
              </w:rPr>
              <w:t>Д</w:t>
            </w:r>
            <w:r w:rsidR="00C45B90" w:rsidRPr="00E134C5">
              <w:rPr>
                <w:lang w:val="uk-UA"/>
              </w:rPr>
              <w:t xml:space="preserve">оговору </w:t>
            </w:r>
          </w:p>
        </w:tc>
        <w:tc>
          <w:tcPr>
            <w:tcW w:w="7059" w:type="dxa"/>
          </w:tcPr>
          <w:p w14:paraId="042F28B2" w14:textId="1BDA7161" w:rsidR="00195B63" w:rsidRPr="00C45B90" w:rsidRDefault="00C45B90" w:rsidP="00AD5671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100 % (сто відсотків) середньої вартості електричної енергії, поставленої Постачальником Споживачу у трьох </w:t>
            </w:r>
            <w:r w:rsidR="0055009C">
              <w:rPr>
                <w:color w:val="000000"/>
                <w:lang w:val="uk-UA"/>
              </w:rPr>
              <w:t xml:space="preserve">останніх </w:t>
            </w:r>
            <w:r>
              <w:rPr>
                <w:color w:val="000000"/>
                <w:lang w:val="uk-UA"/>
              </w:rPr>
              <w:t>розрахункових періодах, які передували розрахунковому періоду, у якому відбулося дострокове розірвання Договору</w:t>
            </w:r>
          </w:p>
          <w:p w14:paraId="6AD92FD6" w14:textId="10217136" w:rsidR="00195B63" w:rsidRPr="00D36D0A" w:rsidRDefault="00F507DA" w:rsidP="00AD5671">
            <w:pPr>
              <w:jc w:val="both"/>
              <w:rPr>
                <w:color w:val="000000"/>
                <w:lang w:val="uk-UA"/>
              </w:rPr>
            </w:pPr>
            <w:r w:rsidRPr="00D36D0A">
              <w:rPr>
                <w:color w:val="000000"/>
                <w:lang w:val="uk-UA"/>
              </w:rPr>
              <w:t xml:space="preserve">У випадках, якщо Постачальник </w:t>
            </w:r>
            <w:r w:rsidR="003B10C4" w:rsidRPr="00D36D0A">
              <w:rPr>
                <w:color w:val="000000"/>
                <w:lang w:val="uk-UA"/>
              </w:rPr>
              <w:t>постачає Споживачу електричну енергію менше, ніж протягом чотирьох розрахункових періодів, застосовуються наступні штрафи:</w:t>
            </w:r>
          </w:p>
          <w:p w14:paraId="6D0002CE" w14:textId="66952DB0" w:rsidR="003B10C4" w:rsidRPr="00D36D0A" w:rsidRDefault="003B10C4" w:rsidP="003B10C4">
            <w:pPr>
              <w:pStyle w:val="a9"/>
              <w:numPr>
                <w:ilvl w:val="0"/>
                <w:numId w:val="2"/>
              </w:numPr>
              <w:jc w:val="both"/>
              <w:rPr>
                <w:color w:val="000000"/>
                <w:lang w:val="uk-UA"/>
              </w:rPr>
            </w:pPr>
            <w:r w:rsidRPr="00D36D0A">
              <w:rPr>
                <w:color w:val="000000"/>
                <w:lang w:val="uk-UA"/>
              </w:rPr>
              <w:t xml:space="preserve">100 % (сто відсотків) середньої вартості електричної енергії, поставленої Постачальником Споживачу у двох розрахункових періодах, які передували розрахунковому </w:t>
            </w:r>
            <w:r w:rsidRPr="00D36D0A">
              <w:rPr>
                <w:color w:val="000000"/>
                <w:lang w:val="uk-UA"/>
              </w:rPr>
              <w:lastRenderedPageBreak/>
              <w:t>періоду, у якому відбулося дострокове розірвання Договору (якщо Постачальник постачає Споживачу електричну енергію протягом трьох розрахункових періодів</w:t>
            </w:r>
            <w:r w:rsidR="0055009C" w:rsidRPr="00D36D0A">
              <w:rPr>
                <w:color w:val="000000"/>
                <w:lang w:val="uk-UA"/>
              </w:rPr>
              <w:t>);</w:t>
            </w:r>
          </w:p>
          <w:p w14:paraId="0CCC7EC7" w14:textId="77777777" w:rsidR="0055009C" w:rsidRPr="00D36D0A" w:rsidRDefault="0055009C" w:rsidP="0055009C">
            <w:pPr>
              <w:pStyle w:val="a9"/>
              <w:numPr>
                <w:ilvl w:val="0"/>
                <w:numId w:val="2"/>
              </w:numPr>
              <w:jc w:val="both"/>
              <w:rPr>
                <w:color w:val="000000"/>
                <w:lang w:val="uk-UA"/>
              </w:rPr>
            </w:pPr>
            <w:r w:rsidRPr="00D36D0A">
              <w:rPr>
                <w:color w:val="000000"/>
                <w:lang w:val="uk-UA"/>
              </w:rPr>
              <w:t>100 % (сто відсотків) середньої вартості електричної енергії, поставленої Постачальником Споживачу у розрахунковому періоді, який передував розрахунковому періоду, у якому відбулося дострокове розірвання Договору (якщо Постачальник постачає Споживачу електричну енергію протягом двох розрахункових періодів);</w:t>
            </w:r>
          </w:p>
          <w:p w14:paraId="2038DA48" w14:textId="68D4F4BA" w:rsidR="0055009C" w:rsidRPr="0055009C" w:rsidRDefault="0055009C" w:rsidP="0055009C">
            <w:pPr>
              <w:pStyle w:val="a9"/>
              <w:numPr>
                <w:ilvl w:val="0"/>
                <w:numId w:val="2"/>
              </w:numPr>
              <w:jc w:val="both"/>
              <w:rPr>
                <w:color w:val="000000"/>
                <w:lang w:val="uk-UA"/>
              </w:rPr>
            </w:pPr>
            <w:r w:rsidRPr="00D36D0A">
              <w:rPr>
                <w:color w:val="000000"/>
                <w:lang w:val="uk-UA"/>
              </w:rPr>
              <w:t>100 % (сто відсотків) вартості електричної енергії, поставленої Постачальником Споживачу у розрахунковому періоді (якщо Постачальник постачає Споживачу електричну енергію протягом одного розрахункового періоду).</w:t>
            </w:r>
          </w:p>
        </w:tc>
      </w:tr>
      <w:tr w:rsidR="00195B63" w:rsidRPr="00955EEC" w14:paraId="1716F4A5" w14:textId="77777777">
        <w:tc>
          <w:tcPr>
            <w:tcW w:w="3119" w:type="dxa"/>
          </w:tcPr>
          <w:p w14:paraId="5BDEDF5E" w14:textId="77777777" w:rsidR="00195B63" w:rsidRPr="00360C3A" w:rsidRDefault="00195B63" w:rsidP="00210240">
            <w:pPr>
              <w:rPr>
                <w:color w:val="000000"/>
                <w:lang w:val="uk-UA"/>
              </w:rPr>
            </w:pPr>
            <w:r w:rsidRPr="00360C3A">
              <w:rPr>
                <w:color w:val="000000"/>
                <w:lang w:val="uk-UA"/>
              </w:rPr>
              <w:lastRenderedPageBreak/>
              <w:t>Розмір неустойки за порушення обсягів споживання</w:t>
            </w:r>
          </w:p>
        </w:tc>
        <w:tc>
          <w:tcPr>
            <w:tcW w:w="7059" w:type="dxa"/>
          </w:tcPr>
          <w:p w14:paraId="102BEECB" w14:textId="5447FECA" w:rsidR="00195B63" w:rsidRPr="00163A7C" w:rsidRDefault="00195B63" w:rsidP="00163A7C">
            <w:pPr>
              <w:spacing w:line="254" w:lineRule="auto"/>
              <w:jc w:val="both"/>
              <w:rPr>
                <w:lang w:val="uk-UA"/>
              </w:rPr>
            </w:pPr>
            <w:r w:rsidRPr="00163A7C">
              <w:rPr>
                <w:lang w:val="uk-UA"/>
              </w:rPr>
              <w:t>У разі невідповідності фактичного обсягу споживання електричної енергії Споживачем більше ніж на 5% (як у більшу так і у меншу сторону) від замовленого (відповідно до</w:t>
            </w:r>
            <w:r w:rsidR="005B450A" w:rsidRPr="00163A7C">
              <w:rPr>
                <w:lang w:val="uk-UA"/>
              </w:rPr>
              <w:t xml:space="preserve"> </w:t>
            </w:r>
            <w:r w:rsidR="005B450A">
              <w:rPr>
                <w:lang w:val="uk-UA"/>
              </w:rPr>
              <w:t>З</w:t>
            </w:r>
            <w:r w:rsidR="005B450A" w:rsidRPr="00163A7C">
              <w:rPr>
                <w:lang w:val="uk-UA"/>
              </w:rPr>
              <w:t xml:space="preserve">аявки </w:t>
            </w:r>
            <w:r w:rsidRPr="00163A7C">
              <w:rPr>
                <w:lang w:val="uk-UA"/>
              </w:rPr>
              <w:t xml:space="preserve">про прогнозні обсяги споживання), </w:t>
            </w:r>
            <w:r w:rsidRPr="009A18FD">
              <w:rPr>
                <w:lang w:val="uk-UA"/>
              </w:rPr>
              <w:t>Постачальник має право нарахувати Споживачу штраф у розмірі вартості на балансуючому ринку</w:t>
            </w:r>
            <w:r w:rsidR="009A18FD" w:rsidRPr="003D0C46">
              <w:rPr>
                <w:lang w:val="uk-UA"/>
              </w:rPr>
              <w:t xml:space="preserve"> обсягу електричної енергії</w:t>
            </w:r>
            <w:r w:rsidRPr="009A18FD">
              <w:rPr>
                <w:lang w:val="uk-UA"/>
              </w:rPr>
              <w:t xml:space="preserve">, </w:t>
            </w:r>
            <w:r w:rsidR="009A18FD" w:rsidRPr="003D0C46">
              <w:rPr>
                <w:lang w:val="uk-UA"/>
              </w:rPr>
              <w:t>який дорівнює різниці між замовленим та фактично спожитим обсягом електричної енергії (якщо замовлений обсяг електричної енергії є більшим за фактично спожитий обсяг електричної енергії) або різниці між фактично спожитим та замовленим обсягом електричної енергії (якщо замовлений обсяг електричної енергії є меншим за фактично спожитий обсяг електричної енергії)</w:t>
            </w:r>
            <w:r w:rsidRPr="009A18FD">
              <w:rPr>
                <w:lang w:val="uk-UA"/>
              </w:rPr>
              <w:t>. Споживач має сплатити цю суму протягом 5 банківських днів з дня отримання від Постачальника повідомлення про таке нарахування.</w:t>
            </w:r>
          </w:p>
          <w:p w14:paraId="0074ACD4" w14:textId="77777777" w:rsidR="00195B63" w:rsidRPr="00360C3A" w:rsidRDefault="00195B63" w:rsidP="00210240">
            <w:pPr>
              <w:jc w:val="both"/>
              <w:rPr>
                <w:color w:val="000000"/>
                <w:lang w:val="uk-UA"/>
              </w:rPr>
            </w:pPr>
            <w:r w:rsidRPr="00163A7C">
              <w:rPr>
                <w:lang w:val="uk-UA"/>
              </w:rPr>
              <w:t xml:space="preserve">Крім того, Споживач зобов’язаний компенсувати витрати Постачальника з оплати виставленого НЕК «УКРЕНЕРГО» рахунку, за послуги з підтримки діяльності субрахунку </w:t>
            </w:r>
            <w:r w:rsidRPr="00163A7C">
              <w:rPr>
                <w:lang w:val="en-US"/>
              </w:rPr>
              <w:t>UA</w:t>
            </w:r>
            <w:r w:rsidRPr="00163A7C">
              <w:rPr>
                <w:lang w:val="uk-UA"/>
              </w:rPr>
              <w:t xml:space="preserve">-1 за відповідний період, </w:t>
            </w:r>
            <w:proofErr w:type="spellStart"/>
            <w:r w:rsidRPr="00163A7C">
              <w:rPr>
                <w:lang w:val="uk-UA"/>
              </w:rPr>
              <w:t>пропорційно</w:t>
            </w:r>
            <w:proofErr w:type="spellEnd"/>
            <w:r w:rsidRPr="00163A7C">
              <w:rPr>
                <w:lang w:val="uk-UA"/>
              </w:rPr>
              <w:t xml:space="preserve"> розміру фактичного обсягу споживання електричної енергії Споживачем.</w:t>
            </w:r>
          </w:p>
        </w:tc>
      </w:tr>
      <w:tr w:rsidR="004127F1" w:rsidRPr="004127F1" w14:paraId="6EAA1747" w14:textId="77777777">
        <w:tc>
          <w:tcPr>
            <w:tcW w:w="3119" w:type="dxa"/>
          </w:tcPr>
          <w:p w14:paraId="034FE229" w14:textId="61A630FC" w:rsidR="004127F1" w:rsidRPr="00360C3A" w:rsidRDefault="004127F1" w:rsidP="0021024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Розмір штрафу за </w:t>
            </w:r>
            <w:proofErr w:type="spellStart"/>
            <w:r w:rsidRPr="004127F1">
              <w:rPr>
                <w:color w:val="000000"/>
                <w:lang w:val="uk-UA"/>
              </w:rPr>
              <w:t>вiдмов</w:t>
            </w:r>
            <w:r>
              <w:rPr>
                <w:color w:val="000000"/>
                <w:lang w:val="uk-UA"/>
              </w:rPr>
              <w:t>у</w:t>
            </w:r>
            <w:proofErr w:type="spellEnd"/>
            <w:r w:rsidRPr="004127F1">
              <w:rPr>
                <w:color w:val="000000"/>
                <w:lang w:val="uk-UA"/>
              </w:rPr>
              <w:t xml:space="preserve"> Спо</w:t>
            </w:r>
            <w:r>
              <w:rPr>
                <w:color w:val="000000"/>
                <w:lang w:val="uk-UA"/>
              </w:rPr>
              <w:t>жив</w:t>
            </w:r>
            <w:r w:rsidRPr="004127F1">
              <w:rPr>
                <w:color w:val="000000"/>
                <w:lang w:val="uk-UA"/>
              </w:rPr>
              <w:t xml:space="preserve">ача надати представнику Постачальника доступ до свого </w:t>
            </w:r>
            <w:r w:rsidR="00162976" w:rsidRPr="004127F1">
              <w:rPr>
                <w:color w:val="000000"/>
                <w:lang w:val="uk-UA"/>
              </w:rPr>
              <w:t>об’єкта</w:t>
            </w:r>
          </w:p>
        </w:tc>
        <w:tc>
          <w:tcPr>
            <w:tcW w:w="7059" w:type="dxa"/>
          </w:tcPr>
          <w:p w14:paraId="2AA3F2E5" w14:textId="7AD20ED6" w:rsidR="004127F1" w:rsidRPr="00163A7C" w:rsidRDefault="004127F1" w:rsidP="004127F1">
            <w:p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Споживач сплачує штраф у розмірі</w:t>
            </w:r>
            <w:r w:rsidRPr="004127F1">
              <w:rPr>
                <w:lang w:val="uk-UA"/>
              </w:rPr>
              <w:t xml:space="preserve"> 20% </w:t>
            </w:r>
            <w:proofErr w:type="spellStart"/>
            <w:r w:rsidRPr="004127F1">
              <w:rPr>
                <w:lang w:val="uk-UA"/>
              </w:rPr>
              <w:t>вiд</w:t>
            </w:r>
            <w:proofErr w:type="spellEnd"/>
            <w:r w:rsidRPr="004127F1">
              <w:rPr>
                <w:lang w:val="uk-UA"/>
              </w:rPr>
              <w:t xml:space="preserve"> Прогнозн</w:t>
            </w:r>
            <w:r>
              <w:rPr>
                <w:lang w:val="uk-UA"/>
              </w:rPr>
              <w:t>ої</w:t>
            </w:r>
            <w:r w:rsidRPr="004127F1">
              <w:rPr>
                <w:lang w:val="uk-UA"/>
              </w:rPr>
              <w:t xml:space="preserve"> варт</w:t>
            </w:r>
            <w:r>
              <w:rPr>
                <w:lang w:val="uk-UA"/>
              </w:rPr>
              <w:t>ості</w:t>
            </w:r>
            <w:r w:rsidRPr="004127F1">
              <w:rPr>
                <w:lang w:val="uk-UA"/>
              </w:rPr>
              <w:t xml:space="preserve"> у розрахунковому </w:t>
            </w:r>
            <w:r>
              <w:rPr>
                <w:lang w:val="uk-UA"/>
              </w:rPr>
              <w:t>місяці за кожен факт відмови.</w:t>
            </w:r>
          </w:p>
        </w:tc>
      </w:tr>
      <w:tr w:rsidR="00195B63" w:rsidRPr="00955EEC" w14:paraId="46FEA789" w14:textId="77777777">
        <w:tc>
          <w:tcPr>
            <w:tcW w:w="3119" w:type="dxa"/>
          </w:tcPr>
          <w:p w14:paraId="66B41730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lang w:val="uk-UA"/>
              </w:rPr>
              <w:t>Недодержання Постачальником якості надання комерційних послуг</w:t>
            </w:r>
          </w:p>
        </w:tc>
        <w:tc>
          <w:tcPr>
            <w:tcW w:w="7059" w:type="dxa"/>
          </w:tcPr>
          <w:p w14:paraId="25EA6917" w14:textId="6E6AC2B6" w:rsidR="00195B63" w:rsidRDefault="00195B63" w:rsidP="00AD5671">
            <w:pPr>
              <w:jc w:val="both"/>
              <w:rPr>
                <w:color w:val="000000"/>
                <w:lang w:val="uk-UA"/>
              </w:rPr>
            </w:pPr>
            <w:r w:rsidRPr="00E134C5">
              <w:rPr>
                <w:lang w:val="uk-UA"/>
              </w:rPr>
              <w:t xml:space="preserve">Розмір компенсації Споживачу визначається відповідно до  </w:t>
            </w:r>
            <w:r w:rsidRPr="00E134C5">
              <w:rPr>
                <w:color w:val="000000"/>
                <w:lang w:val="uk-UA"/>
              </w:rPr>
              <w:t>постанови НКРЕ</w:t>
            </w:r>
            <w:r w:rsidR="00EF2771">
              <w:rPr>
                <w:color w:val="000000"/>
                <w:lang w:val="uk-UA"/>
              </w:rPr>
              <w:t>К</w:t>
            </w:r>
            <w:r w:rsidRPr="00E134C5">
              <w:rPr>
                <w:color w:val="000000"/>
                <w:lang w:val="uk-UA"/>
              </w:rPr>
              <w:t>П № 375 від 12.06.2018р. «Про затвердження порядку забезпечення стандартів якості електропостачання та надання компенсацій споживачам за їх недотримання».</w:t>
            </w:r>
          </w:p>
          <w:p w14:paraId="2CCE4EA7" w14:textId="77777777" w:rsidR="00195B63" w:rsidRDefault="00195B63" w:rsidP="00AD5671">
            <w:pPr>
              <w:jc w:val="both"/>
              <w:rPr>
                <w:lang w:val="uk-UA"/>
              </w:rPr>
            </w:pPr>
          </w:p>
          <w:p w14:paraId="01AC3876" w14:textId="77777777" w:rsidR="00CE5AFC" w:rsidRPr="00E134C5" w:rsidRDefault="00CE5AFC" w:rsidP="00AD5671">
            <w:pPr>
              <w:jc w:val="both"/>
              <w:rPr>
                <w:lang w:val="uk-UA"/>
              </w:rPr>
            </w:pPr>
          </w:p>
        </w:tc>
      </w:tr>
      <w:tr w:rsidR="00195B63" w:rsidRPr="00E134C5" w14:paraId="0901AB5C" w14:textId="77777777">
        <w:tc>
          <w:tcPr>
            <w:tcW w:w="3119" w:type="dxa"/>
          </w:tcPr>
          <w:p w14:paraId="326E141B" w14:textId="77777777" w:rsidR="00195B63" w:rsidRPr="00E134C5" w:rsidRDefault="00195B63" w:rsidP="00AD5671">
            <w:pPr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>Територія дії Договору</w:t>
            </w:r>
          </w:p>
        </w:tc>
        <w:tc>
          <w:tcPr>
            <w:tcW w:w="7059" w:type="dxa"/>
          </w:tcPr>
          <w:p w14:paraId="4406186A" w14:textId="690678C7" w:rsidR="00195B63" w:rsidRDefault="00195B63" w:rsidP="00AD5671">
            <w:pPr>
              <w:jc w:val="both"/>
              <w:rPr>
                <w:lang w:val="uk-UA"/>
              </w:rPr>
            </w:pPr>
            <w:r w:rsidRPr="00E134C5">
              <w:rPr>
                <w:lang w:val="uk-UA"/>
              </w:rPr>
              <w:t>Територія України</w:t>
            </w:r>
            <w:r w:rsidR="00973D71">
              <w:rPr>
                <w:lang w:val="uk-UA"/>
              </w:rPr>
              <w:t>(за винятком тимчасово окупованих територій).</w:t>
            </w:r>
          </w:p>
          <w:p w14:paraId="38E374B9" w14:textId="77777777" w:rsidR="00195B63" w:rsidRPr="00E134C5" w:rsidRDefault="00195B63" w:rsidP="00AD5671">
            <w:pPr>
              <w:jc w:val="both"/>
              <w:rPr>
                <w:lang w:val="uk-UA"/>
              </w:rPr>
            </w:pPr>
          </w:p>
        </w:tc>
      </w:tr>
      <w:tr w:rsidR="00195B63" w:rsidRPr="00E134C5" w14:paraId="4E3675B5" w14:textId="77777777">
        <w:tc>
          <w:tcPr>
            <w:tcW w:w="3119" w:type="dxa"/>
          </w:tcPr>
          <w:p w14:paraId="2017AD35" w14:textId="77777777" w:rsidR="00195B63" w:rsidRPr="00E134C5" w:rsidRDefault="00195B63" w:rsidP="00AC088D">
            <w:pPr>
              <w:rPr>
                <w:lang w:val="uk-UA"/>
              </w:rPr>
            </w:pPr>
            <w:r w:rsidRPr="00E134C5">
              <w:rPr>
                <w:lang w:val="uk-UA"/>
              </w:rPr>
              <w:t>Дата початку постачання електричної енергії Постачальником</w:t>
            </w:r>
          </w:p>
        </w:tc>
        <w:tc>
          <w:tcPr>
            <w:tcW w:w="7059" w:type="dxa"/>
          </w:tcPr>
          <w:p w14:paraId="475C9A5A" w14:textId="77777777" w:rsidR="00195B63" w:rsidRDefault="00195B63" w:rsidP="0041687B">
            <w:pPr>
              <w:jc w:val="both"/>
              <w:rPr>
                <w:lang w:val="uk-UA"/>
              </w:rPr>
            </w:pPr>
            <w:r w:rsidRPr="00E134C5">
              <w:rPr>
                <w:lang w:val="uk-UA"/>
              </w:rPr>
              <w:t>Датою початку постачання електричної енергії Споживачу є дата, що не може бути встановлена раніше ніж через 21 календарний день, з дати отримання Заявки Споживача та має співпадати з першим днем календарного місяця.</w:t>
            </w:r>
          </w:p>
          <w:p w14:paraId="469A4F34" w14:textId="77777777" w:rsidR="00195B63" w:rsidRDefault="00195B63" w:rsidP="0041687B">
            <w:pPr>
              <w:jc w:val="both"/>
              <w:rPr>
                <w:lang w:val="uk-UA"/>
              </w:rPr>
            </w:pPr>
          </w:p>
          <w:p w14:paraId="28DD55EF" w14:textId="77777777" w:rsidR="00CE5AFC" w:rsidRPr="00E134C5" w:rsidRDefault="00CE5AFC" w:rsidP="0041687B">
            <w:pPr>
              <w:jc w:val="both"/>
              <w:rPr>
                <w:lang w:val="uk-UA"/>
              </w:rPr>
            </w:pPr>
          </w:p>
        </w:tc>
      </w:tr>
      <w:tr w:rsidR="00195B63" w:rsidRPr="00E134C5" w14:paraId="0EED85CE" w14:textId="77777777">
        <w:tc>
          <w:tcPr>
            <w:tcW w:w="3119" w:type="dxa"/>
          </w:tcPr>
          <w:p w14:paraId="1A4E9053" w14:textId="38544BA0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color w:val="000000"/>
                <w:lang w:val="uk-UA"/>
              </w:rPr>
              <w:lastRenderedPageBreak/>
              <w:t>Термін дії Договору</w:t>
            </w:r>
            <w:r w:rsidR="00D33538">
              <w:t xml:space="preserve"> </w:t>
            </w:r>
            <w:r w:rsidR="00D33538" w:rsidRPr="00D33538">
              <w:rPr>
                <w:color w:val="000000"/>
                <w:lang w:val="uk-UA"/>
              </w:rPr>
              <w:t>та умови пролонгації</w:t>
            </w:r>
          </w:p>
        </w:tc>
        <w:tc>
          <w:tcPr>
            <w:tcW w:w="7059" w:type="dxa"/>
          </w:tcPr>
          <w:p w14:paraId="53038563" w14:textId="352E5F03" w:rsidR="00195B63" w:rsidRPr="00E134C5" w:rsidRDefault="00702EFF" w:rsidP="00AD5671">
            <w:pPr>
              <w:jc w:val="both"/>
              <w:rPr>
                <w:lang w:val="uk-UA"/>
              </w:rPr>
            </w:pPr>
            <w:r w:rsidRPr="00DA6ACA">
              <w:rPr>
                <w:lang w:val="uk-UA"/>
              </w:rPr>
              <w:t>Договір діє до 31.12.2021 і автоматично продовжується на кожний наступний рік, якщо жодна зі Сторін за 21 (двадцять один) календарний день до кінця строку дії Договору не заявить про свій намір його розірвати</w:t>
            </w:r>
            <w:r w:rsidR="00195B63" w:rsidRPr="00DA6ACA">
              <w:rPr>
                <w:lang w:val="uk-UA"/>
              </w:rPr>
              <w:t>.</w:t>
            </w:r>
          </w:p>
          <w:p w14:paraId="4920FA82" w14:textId="77777777" w:rsidR="00195B63" w:rsidRDefault="00195B63" w:rsidP="00AD5671">
            <w:pPr>
              <w:jc w:val="both"/>
              <w:rPr>
                <w:lang w:val="uk-UA"/>
              </w:rPr>
            </w:pPr>
            <w:r w:rsidRPr="00E134C5">
              <w:rPr>
                <w:lang w:val="uk-UA"/>
              </w:rPr>
              <w:t>У разі, якщо на момент укладання Договору на об’єкт Споживача було припинено/призупинено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14:paraId="11373B60" w14:textId="77777777" w:rsidR="00195B63" w:rsidRPr="00E134C5" w:rsidRDefault="00195B63" w:rsidP="00AD5671">
            <w:pPr>
              <w:jc w:val="both"/>
              <w:rPr>
                <w:lang w:val="uk-UA"/>
              </w:rPr>
            </w:pPr>
          </w:p>
        </w:tc>
      </w:tr>
      <w:tr w:rsidR="00195B63" w:rsidRPr="00E134C5" w14:paraId="50EA6F63" w14:textId="77777777">
        <w:tc>
          <w:tcPr>
            <w:tcW w:w="3119" w:type="dxa"/>
          </w:tcPr>
          <w:p w14:paraId="4932DE97" w14:textId="77777777" w:rsidR="00195B63" w:rsidRPr="00E134C5" w:rsidRDefault="00195B63" w:rsidP="00AD5671">
            <w:pPr>
              <w:rPr>
                <w:lang w:val="uk-UA"/>
              </w:rPr>
            </w:pPr>
            <w:r w:rsidRPr="00E134C5">
              <w:rPr>
                <w:color w:val="000000"/>
                <w:lang w:val="uk-UA"/>
              </w:rPr>
              <w:t>Пільги, субсидії</w:t>
            </w:r>
          </w:p>
        </w:tc>
        <w:tc>
          <w:tcPr>
            <w:tcW w:w="7059" w:type="dxa"/>
          </w:tcPr>
          <w:p w14:paraId="3F922DE2" w14:textId="77777777" w:rsidR="00195B63" w:rsidRDefault="00195B63" w:rsidP="00AD5671">
            <w:pPr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>Не застосовується.</w:t>
            </w:r>
          </w:p>
          <w:p w14:paraId="65F70793" w14:textId="77777777" w:rsidR="00195B63" w:rsidRPr="00E134C5" w:rsidRDefault="00195B63" w:rsidP="00AD5671">
            <w:pPr>
              <w:rPr>
                <w:lang w:val="uk-UA"/>
              </w:rPr>
            </w:pPr>
          </w:p>
        </w:tc>
      </w:tr>
      <w:tr w:rsidR="00D33538" w:rsidRPr="00E134C5" w14:paraId="5030A6B6" w14:textId="77777777">
        <w:tc>
          <w:tcPr>
            <w:tcW w:w="3119" w:type="dxa"/>
          </w:tcPr>
          <w:p w14:paraId="774FA911" w14:textId="57D68E4D" w:rsidR="00D33538" w:rsidRPr="00E134C5" w:rsidRDefault="00D33538" w:rsidP="00AD567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 w:rsidRPr="00D33538">
              <w:rPr>
                <w:color w:val="000000"/>
                <w:lang w:val="uk-UA"/>
              </w:rPr>
              <w:t>ожливість постачання захищеним споживачам</w:t>
            </w:r>
          </w:p>
        </w:tc>
        <w:tc>
          <w:tcPr>
            <w:tcW w:w="7059" w:type="dxa"/>
          </w:tcPr>
          <w:p w14:paraId="4615DF9F" w14:textId="3D2F0021" w:rsidR="00D33538" w:rsidRPr="00B94BC0" w:rsidRDefault="00D33538" w:rsidP="00AD5671">
            <w:pPr>
              <w:rPr>
                <w:color w:val="000000"/>
                <w:lang w:val="uk-UA"/>
              </w:rPr>
            </w:pPr>
            <w:r w:rsidRPr="00E134C5">
              <w:rPr>
                <w:color w:val="000000"/>
                <w:lang w:val="uk-UA"/>
              </w:rPr>
              <w:t>Не застосовується.</w:t>
            </w:r>
          </w:p>
        </w:tc>
      </w:tr>
    </w:tbl>
    <w:p w14:paraId="4CC012C3" w14:textId="77777777" w:rsidR="00195B63" w:rsidRPr="00E134C5" w:rsidRDefault="00195B63" w:rsidP="00935FCF">
      <w:pPr>
        <w:jc w:val="both"/>
        <w:rPr>
          <w:lang w:val="uk-UA"/>
        </w:rPr>
      </w:pPr>
    </w:p>
    <w:p w14:paraId="7F9CAEF5" w14:textId="77777777" w:rsidR="00195B63" w:rsidRPr="00E134C5" w:rsidRDefault="00195B63" w:rsidP="00935FCF">
      <w:pPr>
        <w:jc w:val="both"/>
        <w:rPr>
          <w:color w:val="000000"/>
          <w:lang w:val="uk-UA"/>
        </w:rPr>
      </w:pPr>
      <w:r w:rsidRPr="00E134C5">
        <w:rPr>
          <w:lang w:val="uk-UA"/>
        </w:rPr>
        <w:t xml:space="preserve">* </w:t>
      </w:r>
      <w:r w:rsidRPr="00E134C5">
        <w:rPr>
          <w:color w:val="000000"/>
          <w:lang w:val="uk-UA"/>
        </w:rPr>
        <w:t>Вартість послуг та інші умови Комерційної пропозиції можуть бути переглянуті в залежності від обсягів та режиму споживання Споживачем.</w:t>
      </w:r>
    </w:p>
    <w:p w14:paraId="38F0F154" w14:textId="77777777" w:rsidR="00195B63" w:rsidRPr="00E134C5" w:rsidRDefault="00195B63" w:rsidP="00935FCF">
      <w:pPr>
        <w:jc w:val="both"/>
        <w:rPr>
          <w:color w:val="000000"/>
          <w:lang w:val="uk-UA"/>
        </w:rPr>
      </w:pPr>
    </w:p>
    <w:p w14:paraId="0E66F4F7" w14:textId="77777777" w:rsidR="00195B63" w:rsidRPr="00E134C5" w:rsidRDefault="00195B63" w:rsidP="00935FCF">
      <w:pPr>
        <w:jc w:val="both"/>
        <w:rPr>
          <w:color w:val="000000"/>
          <w:lang w:val="uk-UA" w:eastAsia="en-US"/>
        </w:rPr>
      </w:pPr>
      <w:r w:rsidRPr="00E134C5">
        <w:rPr>
          <w:color w:val="000000"/>
          <w:lang w:val="uk-UA" w:eastAsia="en-US"/>
        </w:rPr>
        <w:t>Примітка: Інформація про ціну та умови постачання, визначені цією комерційною пропозицією, є конфіденційною інформацією Постачальника та визначена як комерційна таємниця, доступ до якої обмежено та може поширюватися лише за бажанням (згодою) Постачальника у визначеному ним порядку і відповідно до передбачених ним умов. Розголошення конфіденційної інформації без згоди Постачальника не допускається. Особа винна у розголошенні такої інформації несе відповідальність згідно із законодавством.</w:t>
      </w:r>
    </w:p>
    <w:tbl>
      <w:tblPr>
        <w:tblW w:w="1038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94"/>
        <w:gridCol w:w="5195"/>
      </w:tblGrid>
      <w:tr w:rsidR="00195B63" w:rsidRPr="00327ADE" w14:paraId="1A4CC657" w14:textId="77777777">
        <w:tc>
          <w:tcPr>
            <w:tcW w:w="5095" w:type="dxa"/>
          </w:tcPr>
          <w:p w14:paraId="38BD2FAB" w14:textId="77777777" w:rsidR="00195B63" w:rsidRDefault="00195B63" w:rsidP="00CE5AFC">
            <w:pPr>
              <w:spacing w:line="269" w:lineRule="auto"/>
              <w:rPr>
                <w:b/>
                <w:bCs/>
                <w:sz w:val="23"/>
                <w:szCs w:val="23"/>
                <w:lang w:val="uk-UA"/>
              </w:rPr>
            </w:pPr>
          </w:p>
          <w:p w14:paraId="4CDA89AA" w14:textId="77777777" w:rsidR="00195B63" w:rsidRDefault="00195B63" w:rsidP="00DB7DFB">
            <w:pPr>
              <w:spacing w:line="269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  <w:p w14:paraId="76E010BA" w14:textId="77777777" w:rsidR="00195B63" w:rsidRDefault="00195B63" w:rsidP="00DB7DFB">
            <w:pPr>
              <w:spacing w:line="269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327ADE">
              <w:rPr>
                <w:b/>
                <w:bCs/>
                <w:sz w:val="23"/>
                <w:szCs w:val="23"/>
                <w:lang w:val="uk-UA"/>
              </w:rPr>
              <w:t>Постачальник:</w:t>
            </w:r>
          </w:p>
          <w:p w14:paraId="0CEEA4D6" w14:textId="77777777" w:rsidR="00195B63" w:rsidRPr="00327ADE" w:rsidRDefault="00195B63" w:rsidP="00DB7DFB">
            <w:pPr>
              <w:spacing w:line="269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5096" w:type="dxa"/>
          </w:tcPr>
          <w:p w14:paraId="3A36638F" w14:textId="77777777" w:rsidR="00195B63" w:rsidRDefault="00195B63" w:rsidP="00CE5AFC">
            <w:pPr>
              <w:spacing w:line="269" w:lineRule="auto"/>
              <w:rPr>
                <w:b/>
                <w:bCs/>
                <w:sz w:val="23"/>
                <w:szCs w:val="23"/>
                <w:lang w:val="uk-UA"/>
              </w:rPr>
            </w:pPr>
          </w:p>
          <w:p w14:paraId="451C06C1" w14:textId="77777777" w:rsidR="00195B63" w:rsidRDefault="00195B63" w:rsidP="00DB7DFB">
            <w:pPr>
              <w:spacing w:line="269" w:lineRule="auto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  <w:p w14:paraId="5F3BF5AD" w14:textId="77777777" w:rsidR="00195B63" w:rsidRPr="00327ADE" w:rsidRDefault="00195B63" w:rsidP="00163A7C">
            <w:pPr>
              <w:spacing w:line="269" w:lineRule="auto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                              </w:t>
            </w:r>
            <w:r>
              <w:rPr>
                <w:b/>
                <w:bCs/>
                <w:sz w:val="23"/>
                <w:szCs w:val="23"/>
                <w:lang w:val="uk-UA"/>
              </w:rPr>
              <w:t>Споживач</w:t>
            </w:r>
          </w:p>
        </w:tc>
      </w:tr>
    </w:tbl>
    <w:p w14:paraId="232155A4" w14:textId="77777777" w:rsidR="0067196D" w:rsidRPr="0067196D" w:rsidRDefault="0067196D" w:rsidP="0067196D">
      <w:pPr>
        <w:rPr>
          <w:vanish/>
        </w:rPr>
      </w:pPr>
    </w:p>
    <w:tbl>
      <w:tblPr>
        <w:tblpPr w:leftFromText="180" w:rightFromText="180" w:vertAnchor="text" w:horzAnchor="margin" w:tblpY="350"/>
        <w:tblOverlap w:val="never"/>
        <w:tblW w:w="10280" w:type="dxa"/>
        <w:tblLayout w:type="fixed"/>
        <w:tblLook w:val="0000" w:firstRow="0" w:lastRow="0" w:firstColumn="0" w:lastColumn="0" w:noHBand="0" w:noVBand="0"/>
      </w:tblPr>
      <w:tblGrid>
        <w:gridCol w:w="5139"/>
        <w:gridCol w:w="5141"/>
      </w:tblGrid>
      <w:tr w:rsidR="00195B63" w:rsidRPr="00327ADE" w14:paraId="1CDC2DB0" w14:textId="77777777">
        <w:trPr>
          <w:trHeight w:val="80"/>
        </w:trPr>
        <w:tc>
          <w:tcPr>
            <w:tcW w:w="5132" w:type="dxa"/>
          </w:tcPr>
          <w:p w14:paraId="414725D1" w14:textId="29E4CEAA" w:rsidR="002C73AA" w:rsidRPr="002C73AA" w:rsidRDefault="00195B63" w:rsidP="002C73AA">
            <w:pPr>
              <w:spacing w:line="269" w:lineRule="auto"/>
              <w:rPr>
                <w:b/>
                <w:sz w:val="22"/>
                <w:szCs w:val="22"/>
                <w:lang w:val="uk-UA"/>
              </w:rPr>
            </w:pPr>
            <w:r w:rsidRPr="00951EC2">
              <w:rPr>
                <w:sz w:val="22"/>
                <w:szCs w:val="22"/>
                <w:lang w:val="uk-UA"/>
              </w:rPr>
              <w:t xml:space="preserve"> </w:t>
            </w:r>
            <w:r w:rsidR="002C73AA" w:rsidRPr="002C73AA">
              <w:rPr>
                <w:b/>
              </w:rPr>
              <w:t xml:space="preserve"> </w:t>
            </w:r>
            <w:r w:rsidR="002C73AA" w:rsidRPr="002C73AA">
              <w:rPr>
                <w:b/>
                <w:sz w:val="22"/>
                <w:szCs w:val="22"/>
                <w:lang w:val="uk-UA"/>
              </w:rPr>
              <w:t>ТОВ «КЕПІТАЛ ЕНЕРДЖІ ГРУП»</w:t>
            </w:r>
          </w:p>
          <w:p w14:paraId="6182872F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</w:p>
          <w:p w14:paraId="6789021E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Місцезнаходження (юридична адреса): 04119, м. Київ, вулиця Зоологічна, будинок 4-А, офіс 139.</w:t>
            </w:r>
          </w:p>
          <w:p w14:paraId="0E233642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Поштова адреса: 04119, м. Київ, вулиця Зоологічна, будинок 4-А, офіс 139</w:t>
            </w:r>
          </w:p>
          <w:p w14:paraId="77E53107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proofErr w:type="spellStart"/>
            <w:r w:rsidRPr="002C73AA">
              <w:rPr>
                <w:sz w:val="22"/>
                <w:szCs w:val="22"/>
                <w:lang w:val="uk-UA"/>
              </w:rPr>
              <w:t>Тел</w:t>
            </w:r>
            <w:proofErr w:type="spellEnd"/>
            <w:r w:rsidRPr="002C73AA">
              <w:rPr>
                <w:sz w:val="22"/>
                <w:szCs w:val="22"/>
                <w:lang w:val="uk-UA"/>
              </w:rPr>
              <w:t>. +380 97 616 95 19</w:t>
            </w:r>
          </w:p>
          <w:p w14:paraId="2E96DC72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Веб-сайт: http:/ www.capitalenergy.net.ua</w:t>
            </w:r>
          </w:p>
          <w:p w14:paraId="6C93C17A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E-</w:t>
            </w:r>
            <w:proofErr w:type="spellStart"/>
            <w:r w:rsidRPr="002C73AA">
              <w:rPr>
                <w:sz w:val="22"/>
                <w:szCs w:val="22"/>
                <w:lang w:val="uk-UA"/>
              </w:rPr>
              <w:t>mail</w:t>
            </w:r>
            <w:proofErr w:type="spellEnd"/>
            <w:r w:rsidRPr="002C73AA">
              <w:rPr>
                <w:sz w:val="22"/>
                <w:szCs w:val="22"/>
                <w:lang w:val="uk-UA"/>
              </w:rPr>
              <w:t>: info@capitalenergy.net.ua</w:t>
            </w:r>
          </w:p>
          <w:p w14:paraId="7B724AC5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Код за ЄДРПОУ 43396393</w:t>
            </w:r>
          </w:p>
          <w:p w14:paraId="6AAB65AB" w14:textId="77777777" w:rsidR="002C73AA" w:rsidRPr="002C73AA" w:rsidRDefault="002C73AA" w:rsidP="002C73AA">
            <w:pPr>
              <w:spacing w:line="269" w:lineRule="auto"/>
              <w:rPr>
                <w:sz w:val="22"/>
                <w:szCs w:val="22"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>ІПН  433963926597</w:t>
            </w:r>
          </w:p>
          <w:p w14:paraId="7E3FBDC0" w14:textId="4C6845EF" w:rsidR="00195B63" w:rsidRDefault="002C73AA" w:rsidP="002C73AA">
            <w:pPr>
              <w:spacing w:line="269" w:lineRule="auto"/>
              <w:rPr>
                <w:b/>
                <w:bCs/>
                <w:lang w:val="uk-UA"/>
              </w:rPr>
            </w:pPr>
            <w:r w:rsidRPr="002C73AA">
              <w:rPr>
                <w:sz w:val="22"/>
                <w:szCs w:val="22"/>
                <w:lang w:val="uk-UA"/>
              </w:rPr>
              <w:t xml:space="preserve">р/р UA93322669000002600230093890                            </w:t>
            </w:r>
          </w:p>
          <w:p w14:paraId="5E66F601" w14:textId="77777777" w:rsidR="00195B63" w:rsidRDefault="00195B63" w:rsidP="00DB7DFB">
            <w:pPr>
              <w:spacing w:line="269" w:lineRule="auto"/>
              <w:rPr>
                <w:b/>
                <w:bCs/>
                <w:lang w:val="uk-UA"/>
              </w:rPr>
            </w:pPr>
          </w:p>
          <w:p w14:paraId="2EF86A31" w14:textId="77777777" w:rsidR="00195B63" w:rsidRDefault="00195B63" w:rsidP="00DB7DFB">
            <w:pPr>
              <w:spacing w:line="269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Директор</w:t>
            </w:r>
          </w:p>
          <w:p w14:paraId="0B0EADE0" w14:textId="77777777" w:rsidR="00195B63" w:rsidRDefault="00195B63" w:rsidP="00DB7DFB">
            <w:pPr>
              <w:spacing w:line="269" w:lineRule="auto"/>
              <w:rPr>
                <w:b/>
                <w:bCs/>
                <w:lang w:val="uk-UA"/>
              </w:rPr>
            </w:pPr>
          </w:p>
          <w:p w14:paraId="6F2DD30E" w14:textId="12828185" w:rsidR="00195B63" w:rsidRPr="00B10C68" w:rsidRDefault="003D0C46" w:rsidP="00B10C68">
            <w:pPr>
              <w:spacing w:line="269" w:lineRule="auto"/>
              <w:rPr>
                <w:b/>
                <w:bCs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B25DD" wp14:editId="2DEEFB9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131445</wp:posOffset>
                      </wp:positionV>
                      <wp:extent cx="2000250" cy="0"/>
                      <wp:effectExtent l="9525" t="6985" r="9525" b="12065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100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2.8pt;margin-top:10.35pt;width:15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"/>
                  </w:pict>
                </mc:Fallback>
              </mc:AlternateContent>
            </w:r>
            <w:r w:rsidR="00B10C68">
              <w:rPr>
                <w:b/>
                <w:bCs/>
                <w:sz w:val="22"/>
                <w:szCs w:val="22"/>
                <w:lang w:val="uk-UA"/>
              </w:rPr>
              <w:t xml:space="preserve">                                           </w:t>
            </w:r>
            <w:r w:rsidR="00195B63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 w:rsidR="00B10C68">
              <w:rPr>
                <w:b/>
                <w:bCs/>
                <w:sz w:val="22"/>
                <w:szCs w:val="22"/>
                <w:lang w:val="uk-UA"/>
              </w:rPr>
              <w:t xml:space="preserve">Д.М. </w:t>
            </w:r>
            <w:proofErr w:type="spellStart"/>
            <w:r w:rsidR="00B10C68">
              <w:rPr>
                <w:b/>
                <w:bCs/>
                <w:sz w:val="22"/>
                <w:szCs w:val="22"/>
                <w:lang w:val="uk-UA"/>
              </w:rPr>
              <w:t>Овсієнко</w:t>
            </w:r>
            <w:proofErr w:type="spellEnd"/>
          </w:p>
        </w:tc>
        <w:tc>
          <w:tcPr>
            <w:tcW w:w="5133" w:type="dxa"/>
          </w:tcPr>
          <w:p w14:paraId="4C06BE31" w14:textId="77777777" w:rsidR="00195B63" w:rsidRDefault="00195B63"/>
          <w:p w14:paraId="39BB2C40" w14:textId="77777777" w:rsidR="00195B63" w:rsidRDefault="00195B63"/>
          <w:p w14:paraId="5C9D73E8" w14:textId="77777777" w:rsidR="00195B63" w:rsidRDefault="00195B63"/>
          <w:p w14:paraId="1F747143" w14:textId="77777777" w:rsidR="00195B63" w:rsidRDefault="00195B63"/>
          <w:p w14:paraId="5129D2FB" w14:textId="77777777" w:rsidR="00195B63" w:rsidRDefault="00195B63"/>
          <w:p w14:paraId="4C8FD780" w14:textId="77777777" w:rsidR="00195B63" w:rsidRDefault="00195B63"/>
          <w:p w14:paraId="454B2E0E" w14:textId="77777777" w:rsidR="00195B63" w:rsidRDefault="00195B63"/>
          <w:p w14:paraId="70329FC8" w14:textId="77777777" w:rsidR="00195B63" w:rsidRDefault="00195B63"/>
          <w:p w14:paraId="6128AD8C" w14:textId="77777777" w:rsidR="00195B63" w:rsidRDefault="00195B63"/>
          <w:p w14:paraId="7096B14B" w14:textId="77777777" w:rsidR="00195B63" w:rsidRDefault="00195B63"/>
          <w:p w14:paraId="601C777D" w14:textId="77777777" w:rsidR="00195B63" w:rsidRDefault="00195B63"/>
          <w:p w14:paraId="3F20F052" w14:textId="77777777" w:rsidR="00195B63" w:rsidRDefault="00195B63"/>
          <w:tbl>
            <w:tblPr>
              <w:tblW w:w="10192" w:type="dxa"/>
              <w:tblLayout w:type="fixed"/>
              <w:tblLook w:val="0000" w:firstRow="0" w:lastRow="0" w:firstColumn="0" w:lastColumn="0" w:noHBand="0" w:noVBand="0"/>
            </w:tblPr>
            <w:tblGrid>
              <w:gridCol w:w="10192"/>
            </w:tblGrid>
            <w:tr w:rsidR="00195B63" w:rsidRPr="00CD0520" w14:paraId="2C41D665" w14:textId="77777777">
              <w:tc>
                <w:tcPr>
                  <w:tcW w:w="10192" w:type="dxa"/>
                </w:tcPr>
                <w:p w14:paraId="6DB04191" w14:textId="77777777" w:rsidR="00195B63" w:rsidRDefault="00195B63" w:rsidP="00955EEC">
                  <w:pPr>
                    <w:framePr w:hSpace="180" w:wrap="around" w:vAnchor="text" w:hAnchor="margin" w:y="350"/>
                    <w:spacing w:line="269" w:lineRule="auto"/>
                    <w:suppressOverlap/>
                    <w:rPr>
                      <w:lang w:val="uk-UA"/>
                    </w:rPr>
                  </w:pPr>
                </w:p>
                <w:p w14:paraId="1DD05854" w14:textId="77777777" w:rsidR="00195B63" w:rsidRDefault="00195B63" w:rsidP="00955EEC">
                  <w:pPr>
                    <w:framePr w:hSpace="180" w:wrap="around" w:vAnchor="text" w:hAnchor="margin" w:y="350"/>
                    <w:spacing w:line="269" w:lineRule="auto"/>
                    <w:suppressOverlap/>
                    <w:rPr>
                      <w:lang w:val="uk-UA"/>
                    </w:rPr>
                  </w:pPr>
                </w:p>
                <w:p w14:paraId="7A78F0CD" w14:textId="77777777" w:rsidR="00195B63" w:rsidRDefault="00195B63" w:rsidP="00955EEC">
                  <w:pPr>
                    <w:framePr w:hSpace="180" w:wrap="around" w:vAnchor="text" w:hAnchor="margin" w:y="350"/>
                    <w:spacing w:line="269" w:lineRule="auto"/>
                    <w:suppressOverlap/>
                    <w:rPr>
                      <w:lang w:val="uk-UA"/>
                    </w:rPr>
                  </w:pPr>
                </w:p>
                <w:p w14:paraId="0CBAF51E" w14:textId="48D42699" w:rsidR="00195B63" w:rsidRDefault="003D0C46" w:rsidP="00955EEC">
                  <w:pPr>
                    <w:framePr w:hSpace="180" w:wrap="around" w:vAnchor="text" w:hAnchor="margin" w:y="350"/>
                    <w:spacing w:line="269" w:lineRule="auto"/>
                    <w:suppressOverlap/>
                    <w:rPr>
                      <w:lang w:val="uk-UA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61087449" wp14:editId="16353E1B">
                            <wp:simplePos x="0" y="0"/>
                            <wp:positionH relativeFrom="column">
                              <wp:posOffset>362585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000250" cy="0"/>
                            <wp:effectExtent l="13970" t="13970" r="5080" b="5080"/>
                            <wp:wrapNone/>
                            <wp:docPr id="2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00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8FC92F" id="Прямая со стрелкой 3" o:spid="_x0000_s1026" type="#_x0000_t32" style="position:absolute;margin-left:28.55pt;margin-top:13.35pt;width:157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"/>
                        </w:pict>
                      </mc:Fallback>
                    </mc:AlternateContent>
                  </w:r>
                </w:p>
                <w:p w14:paraId="7B5A311F" w14:textId="77777777" w:rsidR="00195B63" w:rsidRPr="00CD0520" w:rsidRDefault="00195B63" w:rsidP="00955EEC">
                  <w:pPr>
                    <w:framePr w:hSpace="180" w:wrap="around" w:vAnchor="text" w:hAnchor="margin" w:y="350"/>
                    <w:spacing w:line="269" w:lineRule="auto"/>
                    <w:suppressOverlap/>
                    <w:rPr>
                      <w:b/>
                      <w:bCs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</w:t>
                  </w:r>
                </w:p>
                <w:p w14:paraId="4E1B7F6D" w14:textId="77777777" w:rsidR="00195B63" w:rsidRDefault="00195B63" w:rsidP="00955EEC">
                  <w:pPr>
                    <w:framePr w:hSpace="180" w:wrap="around" w:vAnchor="text" w:hAnchor="margin" w:y="350"/>
                    <w:spacing w:line="269" w:lineRule="auto"/>
                    <w:suppressOverlap/>
                    <w:rPr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                                    </w:t>
                  </w:r>
                </w:p>
                <w:p w14:paraId="0FF45A88" w14:textId="77777777" w:rsidR="00195B63" w:rsidRPr="003B5E5D" w:rsidRDefault="00195B63" w:rsidP="00955EEC">
                  <w:pPr>
                    <w:framePr w:hSpace="180" w:wrap="around" w:vAnchor="text" w:hAnchor="margin" w:y="350"/>
                    <w:suppressOverlap/>
                    <w:rPr>
                      <w:sz w:val="23"/>
                      <w:szCs w:val="23"/>
                      <w:lang w:val="uk-UA"/>
                    </w:rPr>
                  </w:pPr>
                </w:p>
              </w:tc>
            </w:tr>
          </w:tbl>
          <w:p w14:paraId="74CAA300" w14:textId="77777777" w:rsidR="00195B63" w:rsidRPr="00327ADE" w:rsidRDefault="00195B63" w:rsidP="00DB7DFB">
            <w:pPr>
              <w:spacing w:line="269" w:lineRule="auto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</w:tbl>
    <w:p w14:paraId="45D187FD" w14:textId="77777777" w:rsidR="00195B63" w:rsidRPr="005A3D35" w:rsidRDefault="00195B63" w:rsidP="00B10C68">
      <w:pPr>
        <w:pStyle w:val="a3"/>
        <w:jc w:val="left"/>
        <w:rPr>
          <w:sz w:val="24"/>
          <w:szCs w:val="24"/>
          <w:lang w:val="uk-UA" w:eastAsia="ru-RU"/>
        </w:rPr>
      </w:pPr>
    </w:p>
    <w:sectPr w:rsidR="00195B63" w:rsidRPr="005A3D35" w:rsidSect="004B05AF">
      <w:footerReference w:type="default" r:id="rId12"/>
      <w:pgSz w:w="11906" w:h="16838"/>
      <w:pgMar w:top="567" w:right="425" w:bottom="56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650A8" w14:textId="77777777" w:rsidR="00953836" w:rsidRDefault="00953836">
      <w:r>
        <w:separator/>
      </w:r>
    </w:p>
  </w:endnote>
  <w:endnote w:type="continuationSeparator" w:id="0">
    <w:p w14:paraId="788176B0" w14:textId="77777777" w:rsidR="00953836" w:rsidRDefault="00953836">
      <w:r>
        <w:continuationSeparator/>
      </w:r>
    </w:p>
  </w:endnote>
  <w:endnote w:type="continuationNotice" w:id="1">
    <w:p w14:paraId="0B6C87F3" w14:textId="77777777" w:rsidR="00953836" w:rsidRDefault="00953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EF0B" w14:textId="77777777" w:rsidR="00195B63" w:rsidRDefault="00225BA9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55EEC">
      <w:rPr>
        <w:noProof/>
      </w:rPr>
      <w:t>5</w:t>
    </w:r>
    <w:r>
      <w:rPr>
        <w:noProof/>
      </w:rPr>
      <w:fldChar w:fldCharType="end"/>
    </w:r>
  </w:p>
  <w:tbl>
    <w:tblPr>
      <w:tblW w:w="10347" w:type="dxa"/>
      <w:tblInd w:w="2" w:type="dxa"/>
      <w:tblLook w:val="00A0" w:firstRow="1" w:lastRow="0" w:firstColumn="1" w:lastColumn="0" w:noHBand="0" w:noVBand="0"/>
    </w:tblPr>
    <w:tblGrid>
      <w:gridCol w:w="3449"/>
      <w:gridCol w:w="3449"/>
      <w:gridCol w:w="3449"/>
    </w:tblGrid>
    <w:tr w:rsidR="00195B63" w14:paraId="412C9523" w14:textId="77777777">
      <w:trPr>
        <w:trHeight w:val="424"/>
      </w:trPr>
      <w:tc>
        <w:tcPr>
          <w:tcW w:w="3449" w:type="dxa"/>
        </w:tcPr>
        <w:p w14:paraId="3BD75708" w14:textId="77777777" w:rsidR="00195B63" w:rsidRPr="00980136" w:rsidRDefault="00195B63" w:rsidP="00980136">
          <w:pPr>
            <w:pStyle w:val="a4"/>
            <w:jc w:val="center"/>
            <w:rPr>
              <w:lang w:val="uk-UA"/>
            </w:rPr>
          </w:pPr>
        </w:p>
      </w:tc>
      <w:tc>
        <w:tcPr>
          <w:tcW w:w="3449" w:type="dxa"/>
        </w:tcPr>
        <w:p w14:paraId="4F32A62C" w14:textId="77777777" w:rsidR="00195B63" w:rsidRPr="00980136" w:rsidRDefault="00195B63" w:rsidP="00980136">
          <w:pPr>
            <w:pStyle w:val="a4"/>
            <w:jc w:val="center"/>
          </w:pPr>
        </w:p>
      </w:tc>
      <w:tc>
        <w:tcPr>
          <w:tcW w:w="3449" w:type="dxa"/>
        </w:tcPr>
        <w:p w14:paraId="651DBEC6" w14:textId="77777777" w:rsidR="00195B63" w:rsidRPr="00980136" w:rsidRDefault="00195B63" w:rsidP="00980136">
          <w:pPr>
            <w:pStyle w:val="a4"/>
            <w:jc w:val="center"/>
          </w:pPr>
        </w:p>
      </w:tc>
    </w:tr>
    <w:tr w:rsidR="00195B63" w14:paraId="5197D6A7" w14:textId="77777777">
      <w:trPr>
        <w:trHeight w:val="424"/>
      </w:trPr>
      <w:tc>
        <w:tcPr>
          <w:tcW w:w="3449" w:type="dxa"/>
        </w:tcPr>
        <w:p w14:paraId="66622612" w14:textId="77777777" w:rsidR="00195B63" w:rsidRPr="00980136" w:rsidRDefault="00195B63" w:rsidP="00980136">
          <w:pPr>
            <w:pStyle w:val="a4"/>
            <w:jc w:val="center"/>
            <w:rPr>
              <w:lang w:val="uk-UA"/>
            </w:rPr>
          </w:pPr>
        </w:p>
      </w:tc>
      <w:tc>
        <w:tcPr>
          <w:tcW w:w="3449" w:type="dxa"/>
        </w:tcPr>
        <w:p w14:paraId="5E5B6FE2" w14:textId="77777777" w:rsidR="00195B63" w:rsidRPr="00980136" w:rsidRDefault="00195B63" w:rsidP="00980136">
          <w:pPr>
            <w:pStyle w:val="a4"/>
            <w:jc w:val="center"/>
          </w:pPr>
        </w:p>
      </w:tc>
      <w:tc>
        <w:tcPr>
          <w:tcW w:w="3449" w:type="dxa"/>
        </w:tcPr>
        <w:p w14:paraId="74E007CA" w14:textId="77777777" w:rsidR="00195B63" w:rsidRPr="00980136" w:rsidRDefault="00195B63" w:rsidP="00980136">
          <w:pPr>
            <w:pStyle w:val="a4"/>
            <w:jc w:val="center"/>
          </w:pPr>
        </w:p>
      </w:tc>
    </w:tr>
  </w:tbl>
  <w:p w14:paraId="4912B1B0" w14:textId="77777777" w:rsidR="00195B63" w:rsidRDefault="00195B63" w:rsidP="00E13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573B" w14:textId="77777777" w:rsidR="00953836" w:rsidRDefault="00953836">
      <w:r>
        <w:separator/>
      </w:r>
    </w:p>
  </w:footnote>
  <w:footnote w:type="continuationSeparator" w:id="0">
    <w:p w14:paraId="11D29627" w14:textId="77777777" w:rsidR="00953836" w:rsidRDefault="00953836">
      <w:r>
        <w:continuationSeparator/>
      </w:r>
    </w:p>
  </w:footnote>
  <w:footnote w:type="continuationNotice" w:id="1">
    <w:p w14:paraId="15F829D2" w14:textId="77777777" w:rsidR="00953836" w:rsidRDefault="009538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0D2"/>
    <w:multiLevelType w:val="multilevel"/>
    <w:tmpl w:val="0B087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E73A6C"/>
    <w:multiLevelType w:val="hybridMultilevel"/>
    <w:tmpl w:val="0CDA59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DC"/>
    <w:rsid w:val="00020614"/>
    <w:rsid w:val="000237CC"/>
    <w:rsid w:val="000250CB"/>
    <w:rsid w:val="000262B1"/>
    <w:rsid w:val="00027EB5"/>
    <w:rsid w:val="00037A5E"/>
    <w:rsid w:val="0005594B"/>
    <w:rsid w:val="000635A8"/>
    <w:rsid w:val="00064A9F"/>
    <w:rsid w:val="000735FA"/>
    <w:rsid w:val="00082E14"/>
    <w:rsid w:val="00087178"/>
    <w:rsid w:val="000A147E"/>
    <w:rsid w:val="000A1777"/>
    <w:rsid w:val="000B2007"/>
    <w:rsid w:val="000C2A4F"/>
    <w:rsid w:val="000C2B97"/>
    <w:rsid w:val="000D6B0F"/>
    <w:rsid w:val="000F207B"/>
    <w:rsid w:val="000F33B2"/>
    <w:rsid w:val="00100AF9"/>
    <w:rsid w:val="00105717"/>
    <w:rsid w:val="0011074C"/>
    <w:rsid w:val="001270E0"/>
    <w:rsid w:val="00134FDA"/>
    <w:rsid w:val="0014210E"/>
    <w:rsid w:val="00162976"/>
    <w:rsid w:val="00163A7C"/>
    <w:rsid w:val="00167065"/>
    <w:rsid w:val="001850CC"/>
    <w:rsid w:val="0019532B"/>
    <w:rsid w:val="00195B63"/>
    <w:rsid w:val="001B6DC1"/>
    <w:rsid w:val="001C4455"/>
    <w:rsid w:val="001D5CA9"/>
    <w:rsid w:val="001E1684"/>
    <w:rsid w:val="001E190F"/>
    <w:rsid w:val="001E2B80"/>
    <w:rsid w:val="001F62B8"/>
    <w:rsid w:val="00210240"/>
    <w:rsid w:val="00217102"/>
    <w:rsid w:val="00217B78"/>
    <w:rsid w:val="002229FD"/>
    <w:rsid w:val="00225BA9"/>
    <w:rsid w:val="00236249"/>
    <w:rsid w:val="00254BA4"/>
    <w:rsid w:val="00257C8A"/>
    <w:rsid w:val="00262131"/>
    <w:rsid w:val="00273CF6"/>
    <w:rsid w:val="002934D0"/>
    <w:rsid w:val="002A7B73"/>
    <w:rsid w:val="002B7584"/>
    <w:rsid w:val="002C0B79"/>
    <w:rsid w:val="002C39F7"/>
    <w:rsid w:val="002C73AA"/>
    <w:rsid w:val="002F022A"/>
    <w:rsid w:val="002F2D10"/>
    <w:rsid w:val="00301FE7"/>
    <w:rsid w:val="00303081"/>
    <w:rsid w:val="00304851"/>
    <w:rsid w:val="00311088"/>
    <w:rsid w:val="003165BD"/>
    <w:rsid w:val="00327ADE"/>
    <w:rsid w:val="003439A4"/>
    <w:rsid w:val="00354285"/>
    <w:rsid w:val="00360C3A"/>
    <w:rsid w:val="00366903"/>
    <w:rsid w:val="0037150A"/>
    <w:rsid w:val="00383919"/>
    <w:rsid w:val="003937DF"/>
    <w:rsid w:val="00395E41"/>
    <w:rsid w:val="003A2666"/>
    <w:rsid w:val="003A3859"/>
    <w:rsid w:val="003A3A60"/>
    <w:rsid w:val="003A7C9E"/>
    <w:rsid w:val="003B0829"/>
    <w:rsid w:val="003B10C4"/>
    <w:rsid w:val="003B5E5D"/>
    <w:rsid w:val="003B6E38"/>
    <w:rsid w:val="003D0C46"/>
    <w:rsid w:val="003D51E2"/>
    <w:rsid w:val="003E787B"/>
    <w:rsid w:val="00402E03"/>
    <w:rsid w:val="00405C88"/>
    <w:rsid w:val="00407CED"/>
    <w:rsid w:val="0041050D"/>
    <w:rsid w:val="00411696"/>
    <w:rsid w:val="004127F1"/>
    <w:rsid w:val="00412F9D"/>
    <w:rsid w:val="00414F17"/>
    <w:rsid w:val="0041687B"/>
    <w:rsid w:val="004354FD"/>
    <w:rsid w:val="00452E08"/>
    <w:rsid w:val="00456D80"/>
    <w:rsid w:val="00460F64"/>
    <w:rsid w:val="004644F2"/>
    <w:rsid w:val="004650E0"/>
    <w:rsid w:val="00465E39"/>
    <w:rsid w:val="004A6270"/>
    <w:rsid w:val="004B05AF"/>
    <w:rsid w:val="004B405A"/>
    <w:rsid w:val="004D23D5"/>
    <w:rsid w:val="004D2F6A"/>
    <w:rsid w:val="004D6DD1"/>
    <w:rsid w:val="004D7D82"/>
    <w:rsid w:val="004E4EAC"/>
    <w:rsid w:val="004E66E4"/>
    <w:rsid w:val="00511D32"/>
    <w:rsid w:val="0052377E"/>
    <w:rsid w:val="00526C49"/>
    <w:rsid w:val="0054445B"/>
    <w:rsid w:val="0055009C"/>
    <w:rsid w:val="00552215"/>
    <w:rsid w:val="0055449A"/>
    <w:rsid w:val="00562493"/>
    <w:rsid w:val="00562DC7"/>
    <w:rsid w:val="005717B4"/>
    <w:rsid w:val="005737D9"/>
    <w:rsid w:val="00590E8A"/>
    <w:rsid w:val="005A13A1"/>
    <w:rsid w:val="005A3D35"/>
    <w:rsid w:val="005B450A"/>
    <w:rsid w:val="005B4889"/>
    <w:rsid w:val="005B4C6A"/>
    <w:rsid w:val="005B769B"/>
    <w:rsid w:val="005C084F"/>
    <w:rsid w:val="005C2F29"/>
    <w:rsid w:val="005C57F7"/>
    <w:rsid w:val="005E7EA5"/>
    <w:rsid w:val="005F2E17"/>
    <w:rsid w:val="005F6106"/>
    <w:rsid w:val="006101B3"/>
    <w:rsid w:val="006103C3"/>
    <w:rsid w:val="0061202F"/>
    <w:rsid w:val="00623375"/>
    <w:rsid w:val="0067196D"/>
    <w:rsid w:val="006A0D35"/>
    <w:rsid w:val="006A642B"/>
    <w:rsid w:val="006F43EF"/>
    <w:rsid w:val="006F47A6"/>
    <w:rsid w:val="00702EFF"/>
    <w:rsid w:val="00710318"/>
    <w:rsid w:val="00711E88"/>
    <w:rsid w:val="007172F6"/>
    <w:rsid w:val="007231CC"/>
    <w:rsid w:val="007253EB"/>
    <w:rsid w:val="0073623B"/>
    <w:rsid w:val="00762242"/>
    <w:rsid w:val="00770FB9"/>
    <w:rsid w:val="00772B8D"/>
    <w:rsid w:val="00774325"/>
    <w:rsid w:val="00784F10"/>
    <w:rsid w:val="007A1932"/>
    <w:rsid w:val="007A7B33"/>
    <w:rsid w:val="007D110C"/>
    <w:rsid w:val="007D71AB"/>
    <w:rsid w:val="007E48CC"/>
    <w:rsid w:val="007E4C48"/>
    <w:rsid w:val="00813F8E"/>
    <w:rsid w:val="008141C0"/>
    <w:rsid w:val="008307F7"/>
    <w:rsid w:val="0084102A"/>
    <w:rsid w:val="008508B2"/>
    <w:rsid w:val="00856ADB"/>
    <w:rsid w:val="00863DEB"/>
    <w:rsid w:val="008708DC"/>
    <w:rsid w:val="008841E2"/>
    <w:rsid w:val="00884EF9"/>
    <w:rsid w:val="00890684"/>
    <w:rsid w:val="008A01FA"/>
    <w:rsid w:val="008B1745"/>
    <w:rsid w:val="008C0B95"/>
    <w:rsid w:val="008D3832"/>
    <w:rsid w:val="008D4AAB"/>
    <w:rsid w:val="008D61A3"/>
    <w:rsid w:val="008E3B4B"/>
    <w:rsid w:val="008E79B3"/>
    <w:rsid w:val="008F6E01"/>
    <w:rsid w:val="00903B6D"/>
    <w:rsid w:val="00904E7C"/>
    <w:rsid w:val="00920CBB"/>
    <w:rsid w:val="009314F5"/>
    <w:rsid w:val="00933F58"/>
    <w:rsid w:val="00935FCF"/>
    <w:rsid w:val="0093621E"/>
    <w:rsid w:val="00942035"/>
    <w:rsid w:val="00943013"/>
    <w:rsid w:val="00951EC2"/>
    <w:rsid w:val="00953836"/>
    <w:rsid w:val="00955EEC"/>
    <w:rsid w:val="009568D8"/>
    <w:rsid w:val="009718DB"/>
    <w:rsid w:val="00972BC3"/>
    <w:rsid w:val="00973D71"/>
    <w:rsid w:val="00980136"/>
    <w:rsid w:val="00982F5C"/>
    <w:rsid w:val="00995236"/>
    <w:rsid w:val="009A18FD"/>
    <w:rsid w:val="009B747E"/>
    <w:rsid w:val="009B7ACA"/>
    <w:rsid w:val="009C124C"/>
    <w:rsid w:val="009C5C8C"/>
    <w:rsid w:val="009E1691"/>
    <w:rsid w:val="00A02642"/>
    <w:rsid w:val="00A068D4"/>
    <w:rsid w:val="00A10538"/>
    <w:rsid w:val="00A331EC"/>
    <w:rsid w:val="00A43713"/>
    <w:rsid w:val="00A52708"/>
    <w:rsid w:val="00A57A1B"/>
    <w:rsid w:val="00A919DE"/>
    <w:rsid w:val="00A94F5B"/>
    <w:rsid w:val="00AA6634"/>
    <w:rsid w:val="00AA794B"/>
    <w:rsid w:val="00AB198D"/>
    <w:rsid w:val="00AC088D"/>
    <w:rsid w:val="00AC10E4"/>
    <w:rsid w:val="00AD1E86"/>
    <w:rsid w:val="00AD2044"/>
    <w:rsid w:val="00AD5671"/>
    <w:rsid w:val="00AE2C6E"/>
    <w:rsid w:val="00AE4997"/>
    <w:rsid w:val="00AE7247"/>
    <w:rsid w:val="00B0243C"/>
    <w:rsid w:val="00B10C68"/>
    <w:rsid w:val="00B24280"/>
    <w:rsid w:val="00B26D8B"/>
    <w:rsid w:val="00B331E0"/>
    <w:rsid w:val="00B33D1D"/>
    <w:rsid w:val="00B46841"/>
    <w:rsid w:val="00B531C8"/>
    <w:rsid w:val="00B80FDD"/>
    <w:rsid w:val="00B81988"/>
    <w:rsid w:val="00B914EB"/>
    <w:rsid w:val="00B9498D"/>
    <w:rsid w:val="00B94BC0"/>
    <w:rsid w:val="00BA19EE"/>
    <w:rsid w:val="00BA5949"/>
    <w:rsid w:val="00BB4381"/>
    <w:rsid w:val="00BC29E6"/>
    <w:rsid w:val="00BD2712"/>
    <w:rsid w:val="00BE6253"/>
    <w:rsid w:val="00BE6978"/>
    <w:rsid w:val="00C167F5"/>
    <w:rsid w:val="00C226EB"/>
    <w:rsid w:val="00C30203"/>
    <w:rsid w:val="00C34CE1"/>
    <w:rsid w:val="00C43D46"/>
    <w:rsid w:val="00C45B90"/>
    <w:rsid w:val="00C4797D"/>
    <w:rsid w:val="00C5498C"/>
    <w:rsid w:val="00C63205"/>
    <w:rsid w:val="00C66140"/>
    <w:rsid w:val="00C73810"/>
    <w:rsid w:val="00C8058B"/>
    <w:rsid w:val="00C823FD"/>
    <w:rsid w:val="00C9664C"/>
    <w:rsid w:val="00CA4E4A"/>
    <w:rsid w:val="00CB0D94"/>
    <w:rsid w:val="00CB4362"/>
    <w:rsid w:val="00CC1EB1"/>
    <w:rsid w:val="00CD0520"/>
    <w:rsid w:val="00CD35D1"/>
    <w:rsid w:val="00CD7B07"/>
    <w:rsid w:val="00CE5AFC"/>
    <w:rsid w:val="00D0242B"/>
    <w:rsid w:val="00D145D1"/>
    <w:rsid w:val="00D15216"/>
    <w:rsid w:val="00D33538"/>
    <w:rsid w:val="00D33746"/>
    <w:rsid w:val="00D36D0A"/>
    <w:rsid w:val="00D40FBD"/>
    <w:rsid w:val="00D43217"/>
    <w:rsid w:val="00D47C10"/>
    <w:rsid w:val="00D52D27"/>
    <w:rsid w:val="00D65A39"/>
    <w:rsid w:val="00D6734E"/>
    <w:rsid w:val="00D67C41"/>
    <w:rsid w:val="00D72E9E"/>
    <w:rsid w:val="00D741C7"/>
    <w:rsid w:val="00D933BD"/>
    <w:rsid w:val="00DA0413"/>
    <w:rsid w:val="00DA0927"/>
    <w:rsid w:val="00DA6ACA"/>
    <w:rsid w:val="00DB73D8"/>
    <w:rsid w:val="00DB7DFB"/>
    <w:rsid w:val="00DC237F"/>
    <w:rsid w:val="00DD4EC1"/>
    <w:rsid w:val="00DD555B"/>
    <w:rsid w:val="00DD5E07"/>
    <w:rsid w:val="00DE0ADD"/>
    <w:rsid w:val="00DE1612"/>
    <w:rsid w:val="00DE4799"/>
    <w:rsid w:val="00DF105D"/>
    <w:rsid w:val="00E11984"/>
    <w:rsid w:val="00E134C5"/>
    <w:rsid w:val="00E17BA3"/>
    <w:rsid w:val="00E23016"/>
    <w:rsid w:val="00E40F2F"/>
    <w:rsid w:val="00E502E2"/>
    <w:rsid w:val="00E56CA3"/>
    <w:rsid w:val="00E56E34"/>
    <w:rsid w:val="00E6336F"/>
    <w:rsid w:val="00E66CC6"/>
    <w:rsid w:val="00E741C0"/>
    <w:rsid w:val="00E82F5C"/>
    <w:rsid w:val="00E83F79"/>
    <w:rsid w:val="00E847C7"/>
    <w:rsid w:val="00E8625E"/>
    <w:rsid w:val="00EA2F17"/>
    <w:rsid w:val="00EB0551"/>
    <w:rsid w:val="00EB51A5"/>
    <w:rsid w:val="00EC12B0"/>
    <w:rsid w:val="00EE7CCB"/>
    <w:rsid w:val="00EF2771"/>
    <w:rsid w:val="00F25D8D"/>
    <w:rsid w:val="00F34DBC"/>
    <w:rsid w:val="00F41C79"/>
    <w:rsid w:val="00F507DA"/>
    <w:rsid w:val="00F5673C"/>
    <w:rsid w:val="00F57AFD"/>
    <w:rsid w:val="00F83DED"/>
    <w:rsid w:val="00F92D52"/>
    <w:rsid w:val="00F95B9D"/>
    <w:rsid w:val="00F9668C"/>
    <w:rsid w:val="00FA3870"/>
    <w:rsid w:val="00FC0CF0"/>
    <w:rsid w:val="00FD4EEA"/>
    <w:rsid w:val="00FE1B5F"/>
    <w:rsid w:val="00FE6D7C"/>
    <w:rsid w:val="00FE7CE5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8432A"/>
  <w15:docId w15:val="{C7BBA522-0D78-4953-A4B6-06443B6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DD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Öåíòð"/>
    <w:basedOn w:val="a"/>
    <w:uiPriority w:val="99"/>
    <w:rsid w:val="00BA5949"/>
    <w:pPr>
      <w:widowControl w:val="0"/>
      <w:spacing w:line="210" w:lineRule="atLeast"/>
      <w:jc w:val="center"/>
    </w:pPr>
    <w:rPr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BA59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A594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6">
    <w:name w:val="annotation reference"/>
    <w:uiPriority w:val="99"/>
    <w:semiHidden/>
    <w:rsid w:val="00BA59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A594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BA594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9">
    <w:name w:val="List Paragraph"/>
    <w:basedOn w:val="a"/>
    <w:uiPriority w:val="99"/>
    <w:qFormat/>
    <w:rsid w:val="00BA5949"/>
    <w:pPr>
      <w:ind w:left="708"/>
    </w:pPr>
  </w:style>
  <w:style w:type="character" w:styleId="aa">
    <w:name w:val="Strong"/>
    <w:uiPriority w:val="99"/>
    <w:qFormat/>
    <w:rsid w:val="00BA5949"/>
    <w:rPr>
      <w:b/>
      <w:bCs/>
    </w:rPr>
  </w:style>
  <w:style w:type="paragraph" w:styleId="ab">
    <w:name w:val="No Spacing"/>
    <w:uiPriority w:val="99"/>
    <w:qFormat/>
    <w:rsid w:val="00BA5949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BA59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BA5949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annotation subject"/>
    <w:basedOn w:val="a7"/>
    <w:next w:val="a7"/>
    <w:link w:val="af"/>
    <w:uiPriority w:val="99"/>
    <w:semiHidden/>
    <w:rsid w:val="00D6734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D6734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af0">
    <w:name w:val="Hyperlink"/>
    <w:uiPriority w:val="99"/>
    <w:rsid w:val="00395E41"/>
    <w:rPr>
      <w:color w:val="0000FF"/>
      <w:u w:val="single"/>
    </w:rPr>
  </w:style>
  <w:style w:type="paragraph" w:styleId="af1">
    <w:name w:val="header"/>
    <w:basedOn w:val="a"/>
    <w:link w:val="af2"/>
    <w:uiPriority w:val="99"/>
    <w:rsid w:val="00395E4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95E41"/>
    <w:rPr>
      <w:rFonts w:ascii="Times New Roman" w:hAnsi="Times New Roman" w:cs="Times New Roman"/>
      <w:sz w:val="24"/>
      <w:szCs w:val="24"/>
      <w:lang w:eastAsia="ar-SA" w:bidi="ar-SA"/>
    </w:rPr>
  </w:style>
  <w:style w:type="table" w:styleId="af3">
    <w:name w:val="Table Grid"/>
    <w:basedOn w:val="a1"/>
    <w:uiPriority w:val="99"/>
    <w:rsid w:val="00A1053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54285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cf01">
    <w:name w:val="cf01"/>
    <w:rsid w:val="00354285"/>
    <w:rPr>
      <w:rFonts w:ascii="Segoe UI" w:hAnsi="Segoe UI" w:cs="Segoe UI" w:hint="default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BF xmlns="e84c4082-07af-44c4-9b50-6e1bc07ca5ad">false</TBF>
    <DocumentSetDescription xmlns="http://schemas.microsoft.com/sharepoint/v3" xsi:nil="true"/>
    <Client_x0020_Name xmlns="e84c4082-07af-44c4-9b50-6e1bc07ca5ad">Martin Trade</Client_x0020_Name>
    <Project_x0020_Manager xmlns="e84c4082-07af-44c4-9b50-6e1bc07ca5ad">
      <UserInfo>
        <DisplayName/>
        <AccountId>342</AccountId>
        <AccountType/>
      </UserInfo>
    </Project_x0020_Manager>
    <Project_x0020__x0023_ xmlns="e84c4082-07af-44c4-9b50-6e1bc07ca5ad">1</Project_x0020__x0023_>
    <Practice xmlns="e84c4082-07af-44c4-9b50-6e1bc07ca5ad">Energy</Practice>
    <Client_x0020__x0023_ xmlns="e84c4082-07af-44c4-9b50-6e1bc07ca5ad">3050</Client_x0020__x0023_>
    <Project_x0020_State xmlns="e84c4082-07af-44c4-9b50-6e1bc07ca5ad">Open</Project_x0020_State>
    <Created_x0020_at xmlns="e97e9fe8-b429-4745-9317-58cd74cd1fa2">2021-07-20T13:00:00+00:00</Created_x0020_at>
    <Successor xmlns="e84c4082-07af-44c4-9b50-6e1bc07ca5ad">
      <UserInfo>
        <DisplayName/>
        <AccountId xsi:nil="true"/>
        <AccountType/>
      </UserInfo>
    </Successor>
    <ym0r xmlns="e84c4082-07af-44c4-9b50-6e1bc07ca5ad" xsi:nil="true"/>
    <ol6h xmlns="e84c4082-07af-44c4-9b50-6e1bc07ca5ad">
      <UserInfo>
        <DisplayName/>
        <AccountId xsi:nil="true"/>
        <AccountType/>
      </UserInfo>
    </ol6h>
  </documentManagement>
</p:properties>
</file>

<file path=customXml/item2.xml><?xml version="1.0" encoding="utf-8"?>
<?mso-contentType ?>
<customXsn xmlns="http://schemas.microsoft.com/office/2006/metadata/customXsn">
  <xsnLocation>https://sp.arzinger.ua/my/personal/layder/Documents/Forms/All.aspx#</xsnLocation>
  <cached>False</cached>
  <openByDefault>False</openByDefault>
  <xsnScope>https://sp.arzinger.ua/DM/docs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DDC873196094F86765959C0644C93" ma:contentTypeVersion="12" ma:contentTypeDescription="Create a new document." ma:contentTypeScope="" ma:versionID="0c312082d1a78edb5146bac2ba80bf8b">
  <xsd:schema xmlns:xsd="http://www.w3.org/2001/XMLSchema" xmlns:xs="http://www.w3.org/2001/XMLSchema" xmlns:p="http://schemas.microsoft.com/office/2006/metadata/properties" xmlns:ns1="http://schemas.microsoft.com/sharepoint/v3" xmlns:ns2="e84c4082-07af-44c4-9b50-6e1bc07ca5ad" xmlns:ns3="e97e9fe8-b429-4745-9317-58cd74cd1fa2" targetNamespace="http://schemas.microsoft.com/office/2006/metadata/properties" ma:root="true" ma:fieldsID="36cb92b655f370146d6a49fbff527486" ns1:_="" ns2:_="" ns3:_="">
    <xsd:import namespace="http://schemas.microsoft.com/sharepoint/v3"/>
    <xsd:import namespace="e84c4082-07af-44c4-9b50-6e1bc07ca5ad"/>
    <xsd:import namespace="e97e9fe8-b429-4745-9317-58cd74cd1fa2"/>
    <xsd:element name="properties">
      <xsd:complexType>
        <xsd:sequence>
          <xsd:element name="documentManagement">
            <xsd:complexType>
              <xsd:all>
                <xsd:element ref="ns2:Practice" minOccurs="0"/>
                <xsd:element ref="ns2:Project_x0020_Manager" minOccurs="0"/>
                <xsd:element ref="ns2:Client_x0020__x0023_"/>
                <xsd:element ref="ns2:Client_x0020_Name"/>
                <xsd:element ref="ns2:Project_x0020__x0023_"/>
                <xsd:element ref="ns2:TBF" minOccurs="0"/>
                <xsd:element ref="ns2:Successor" minOccurs="0"/>
                <xsd:element ref="ns2:Project_x0020_State"/>
                <xsd:element ref="ns1:DocumentSetDescription" minOccurs="0"/>
                <xsd:element ref="ns3:Created_x0020_at" minOccurs="0"/>
                <xsd:element ref="ns2:ol6h" minOccurs="0"/>
                <xsd:element ref="ns2:ym0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6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c4082-07af-44c4-9b50-6e1bc07ca5ad" elementFormDefault="qualified">
    <xsd:import namespace="http://schemas.microsoft.com/office/2006/documentManagement/types"/>
    <xsd:import namespace="http://schemas.microsoft.com/office/infopath/2007/PartnerControls"/>
    <xsd:element name="Practice" ma:index="8" nillable="true" ma:displayName="Practice" ma:default="Undefined" ma:format="Dropdown" ma:internalName="Practice">
      <xsd:simpleType>
        <xsd:restriction base="dms:Choice">
          <xsd:enumeration value="Undefined"/>
          <xsd:enumeration value="Antitrust &amp; Competition"/>
          <xsd:enumeration value="Arbitration"/>
          <xsd:enumeration value="Banking &amp; Finance"/>
          <xsd:enumeration value="Corporate, M&amp;A"/>
          <xsd:enumeration value="Commercial Litigation"/>
          <xsd:enumeration value="Employment"/>
          <xsd:enumeration value="Energy"/>
          <xsd:enumeration value="Healthcare, FMCG, Compliance"/>
          <xsd:enumeration value="IP"/>
          <xsd:enumeration value="Insolvency"/>
          <xsd:enumeration value="Maritime"/>
          <xsd:enumeration value="Real Estate"/>
          <xsd:enumeration value="Tax"/>
          <xsd:enumeration value="Tax &amp; Customs Disputes"/>
          <xsd:enumeration value="White Collar Crime"/>
        </xsd:restriction>
      </xsd:simpleType>
    </xsd:element>
    <xsd:element name="Project_x0020_Manager" ma:index="9" nillable="true" ma:displayName="Project Manager" ma:list="UserInfo" ma:SharePointGroup="0" ma:internalName="Project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ient_x0020__x0023_" ma:index="10" ma:displayName="Client #" ma:decimals="0" ma:default="0" ma:internalName="Client_x0020__x0023_">
      <xsd:simpleType>
        <xsd:restriction base="dms:Number">
          <xsd:maxInclusive value="100000"/>
          <xsd:minInclusive value="0"/>
        </xsd:restriction>
      </xsd:simpleType>
    </xsd:element>
    <xsd:element name="Client_x0020_Name" ma:index="11" ma:displayName="Client Name" ma:default="NONAME" ma:internalName="Client_x0020_Name">
      <xsd:simpleType>
        <xsd:restriction base="dms:Text">
          <xsd:maxLength value="255"/>
        </xsd:restriction>
      </xsd:simpleType>
    </xsd:element>
    <xsd:element name="Project_x0020__x0023_" ma:index="12" ma:displayName="Project #" ma:decimals="0" ma:default="0" ma:internalName="Project_x0020__x0023_">
      <xsd:simpleType>
        <xsd:restriction base="dms:Number">
          <xsd:maxInclusive value="100000"/>
          <xsd:minInclusive value="0"/>
        </xsd:restriction>
      </xsd:simpleType>
    </xsd:element>
    <xsd:element name="TBF" ma:index="13" nillable="true" ma:displayName="TBF" ma:default="0" ma:internalName="TBF">
      <xsd:simpleType>
        <xsd:restriction base="dms:Boolean"/>
      </xsd:simpleType>
    </xsd:element>
    <xsd:element name="Successor" ma:index="14" nillable="true" ma:displayName="Successor" ma:list="UserInfo" ma:SharePointGroup="0" ma:internalName="Successo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State" ma:index="15" ma:displayName="Project State" ma:default="Open" ma:format="RadioButtons" ma:internalName="Project_x0020_State">
      <xsd:simpleType>
        <xsd:restriction base="dms:Choice">
          <xsd:enumeration value="Open"/>
          <xsd:enumeration value="Closed"/>
        </xsd:restriction>
      </xsd:simpleType>
    </xsd:element>
    <xsd:element name="ol6h" ma:index="18" nillable="true" ma:displayName="Person or Group" ma:list="UserInfo" ma:internalName="ol6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m0r" ma:index="19" nillable="true" ma:displayName="Number" ma:internalName="ym0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e9fe8-b429-4745-9317-58cd74cd1fa2" elementFormDefault="qualified">
    <xsd:import namespace="http://schemas.microsoft.com/office/2006/documentManagement/types"/>
    <xsd:import namespace="http://schemas.microsoft.com/office/infopath/2007/PartnerControls"/>
    <xsd:element name="Created_x0020_at" ma:index="17" nillable="true" ma:displayName="Created at" ma:default="[today]" ma:format="DateTime" ma:internalName="Created_x0020_a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1BDC-4920-41B1-9656-8AFDDDCD7FB8}">
  <ds:schemaRefs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e84c4082-07af-44c4-9b50-6e1bc07ca5a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97e9fe8-b429-4745-9317-58cd74cd1f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D8ED8B-7381-41DF-824E-A84BEC40A24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9976A21-E720-4456-871F-3037F3EF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4c4082-07af-44c4-9b50-6e1bc07ca5ad"/>
    <ds:schemaRef ds:uri="e97e9fe8-b429-4745-9317-58cd74cd1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C660D-C7CF-4C2D-A809-FA0737649B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B97ECF-AE1F-4B7F-A929-69E43645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1419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Администратор</cp:lastModifiedBy>
  <cp:revision>8</cp:revision>
  <cp:lastPrinted>2021-08-12T06:29:00Z</cp:lastPrinted>
  <dcterms:created xsi:type="dcterms:W3CDTF">2021-08-12T08:02:00Z</dcterms:created>
  <dcterms:modified xsi:type="dcterms:W3CDTF">2021-09-08T06:50:00Z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0x0101008B6DDC873196094F86765959C0644C93</vt:lpwstr>
  </property>
</Properties>
</file>